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48"/>
          <w:szCs w:val="48"/>
          <w:highlight w:val="none"/>
        </w:rPr>
      </w:pPr>
      <w:r>
        <w:rPr>
          <w:color w:val="auto"/>
          <w:sz w:val="48"/>
          <w:highlight w:val="none"/>
        </w:rPr>
      </w:r>
      <w:r/>
    </w:p>
    <w:p>
      <w:pPr>
        <w:rPr>
          <w:rFonts w:ascii="宋体" w:hAnsi="宋体"/>
          <w:b/>
          <w:color w:val="auto"/>
          <w:sz w:val="48"/>
          <w:szCs w:val="48"/>
          <w:highlight w:val="none"/>
        </w:rPr>
      </w:pPr>
      <w:r>
        <w:rPr>
          <w:rFonts w:ascii="宋体" w:hAnsi="宋体"/>
          <w:b/>
          <w:color w:val="auto"/>
          <w:sz w:val="48"/>
          <w:szCs w:val="48"/>
          <w:highlight w:val="none"/>
        </w:rPr>
      </w:r>
      <w:r/>
    </w:p>
    <w:p>
      <w:pPr>
        <w:jc w:val="center"/>
        <w:rPr>
          <w:rFonts w:ascii="华文新魏" w:hAnsi="华文新魏" w:eastAsia="华文新魏" w:cs="华文新魏"/>
          <w:b/>
          <w:color w:val="auto"/>
          <w:spacing w:val="113"/>
          <w:sz w:val="116"/>
          <w:szCs w:val="72"/>
          <w:highlight w:val="none"/>
        </w:rPr>
      </w:pPr>
      <w:r>
        <w:rPr>
          <w:rFonts w:hint="eastAsia" w:ascii="华文新魏" w:hAnsi="华文新魏" w:eastAsia="华文新魏" w:cs="华文新魏"/>
          <w:b/>
          <w:color w:val="auto"/>
          <w:spacing w:val="113"/>
          <w:sz w:val="116"/>
          <w:szCs w:val="72"/>
          <w:highlight w:val="none"/>
        </w:rPr>
        <w:t xml:space="preserve">竞争性谈判</w:t>
      </w:r>
      <w:r/>
    </w:p>
    <w:p>
      <w:pPr>
        <w:jc w:val="center"/>
        <w:rPr>
          <w:rFonts w:ascii="华文新魏" w:hAnsi="华文新魏" w:eastAsia="华文新魏" w:cs="华文新魏"/>
          <w:b/>
          <w:color w:val="auto"/>
          <w:spacing w:val="113"/>
          <w:sz w:val="144"/>
          <w:szCs w:val="72"/>
          <w:highlight w:val="none"/>
        </w:rPr>
      </w:pPr>
      <w:r>
        <w:rPr>
          <w:rFonts w:hint="eastAsia" w:ascii="华文新魏" w:hAnsi="华文新魏" w:eastAsia="华文新魏" w:cs="华文新魏"/>
          <w:b/>
          <w:color w:val="auto"/>
          <w:spacing w:val="113"/>
          <w:sz w:val="116"/>
          <w:szCs w:val="72"/>
          <w:highlight w:val="none"/>
        </w:rPr>
        <w:t xml:space="preserve">采购文件</w:t>
      </w:r>
      <w:r/>
    </w:p>
    <w:p>
      <w:pPr>
        <w:ind w:firstLine="4579"/>
        <w:rPr>
          <w:rFonts w:ascii="宋体" w:hAnsi="宋体"/>
          <w:bCs/>
          <w:color w:val="auto"/>
          <w:sz w:val="72"/>
          <w:szCs w:val="72"/>
          <w:highlight w:val="none"/>
        </w:rPr>
      </w:pPr>
      <w:r>
        <w:rPr>
          <w:rFonts w:ascii="宋体" w:hAnsi="宋体"/>
          <w:bCs/>
          <w:color w:val="auto"/>
          <w:sz w:val="72"/>
          <w:szCs w:val="72"/>
          <w:highlight w:val="none"/>
        </w:rPr>
      </w:r>
      <w:r/>
    </w:p>
    <w:p>
      <w:pPr>
        <w:ind w:firstLine="2528"/>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采购编号：</w:t>
      </w:r>
      <w:r>
        <w:rPr>
          <w:rFonts w:hint="eastAsia" w:ascii="宋体" w:hAnsi="宋体"/>
          <w:b/>
          <w:color w:val="auto"/>
          <w:sz w:val="32"/>
          <w:szCs w:val="32"/>
          <w:highlight w:val="none"/>
          <w:lang w:eastAsia="zh-CN"/>
        </w:rPr>
        <w:t xml:space="preserve">JSZC-320591-SZYX-T2026-0021</w:t>
      </w:r>
      <w:r/>
    </w:p>
    <w:p>
      <w:pPr>
        <w:ind w:firstLine="2107"/>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采购单位：苏州工业园区服务外包职业学院</w:t>
      </w:r>
      <w:r/>
    </w:p>
    <w:p>
      <w:pPr>
        <w:ind w:firstLine="2107"/>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采购内容：</w:t>
      </w:r>
      <w:r>
        <w:rPr>
          <w:rFonts w:hint="eastAsia" w:ascii="宋体" w:hAnsi="宋体"/>
          <w:b/>
          <w:color w:val="auto"/>
          <w:sz w:val="30"/>
          <w:highlight w:val="none"/>
          <w:lang w:eastAsia="zh-CN"/>
        </w:rPr>
        <w:t xml:space="preserve">外包学院2026年度教学实训设备</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ascii="宋体" w:hAnsi="宋体"/>
          <w:b/>
          <w:color w:val="auto"/>
          <w:sz w:val="32"/>
          <w:szCs w:val="28"/>
          <w:highlight w:val="none"/>
        </w:rPr>
      </w:pPr>
      <w:r>
        <w:rPr>
          <w:rFonts w:hint="eastAsia" w:ascii="宋体" w:hAnsi="宋体"/>
          <w:b/>
          <w:color w:val="auto"/>
          <w:sz w:val="32"/>
          <w:szCs w:val="28"/>
          <w:highlight w:val="none"/>
          <w:lang w:val="en-US" w:eastAsia="zh-CN"/>
        </w:rPr>
        <w:t xml:space="preserve">二〇二六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七</w:t>
      </w:r>
      <w:r>
        <w:rPr>
          <w:rFonts w:hint="eastAsia" w:ascii="宋体" w:hAnsi="宋体"/>
          <w:b/>
          <w:color w:val="auto"/>
          <w:sz w:val="32"/>
          <w:szCs w:val="28"/>
          <w:highlight w:val="none"/>
        </w:rPr>
        <w:t xml:space="preserve">月</w:t>
      </w:r>
      <w:r/>
    </w:p>
    <w:p>
      <w:pPr>
        <w:jc w:val="center"/>
        <w:rPr>
          <w:rFonts w:ascii="宋体" w:hAnsi="宋体"/>
          <w:b/>
          <w:color w:val="auto"/>
          <w:sz w:val="32"/>
          <w:highlight w:val="none"/>
        </w:rPr>
        <w:outlineLvl w:val="0"/>
      </w:pPr>
      <w:r>
        <w:rPr>
          <w:rFonts w:hint="eastAsia" w:ascii="宋体" w:hAnsi="宋体"/>
          <w:b/>
          <w:color w:val="auto"/>
          <w:sz w:val="32"/>
          <w:highlight w:val="none"/>
        </w:rPr>
        <w:t xml:space="preserve">一、竞争性谈判公告</w:t>
      </w:r>
      <w:r/>
    </w:p>
    <w:tbl>
      <w:tblPr>
        <w:tblStyle w:val="955"/>
        <w:tblW w:w="9705"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705"/>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textDirection w:val="lrTb"/>
            <w:noWrap w:val="false"/>
          </w:tcPr>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项目概况：</w:t>
            </w:r>
            <w:r/>
          </w:p>
          <w:p>
            <w:pPr>
              <w:ind w:firstLine="420"/>
              <w:jc w:val="left"/>
              <w:spacing w:line="360" w:lineRule="auto"/>
              <w:widowControl/>
              <w:rPr>
                <w:rFonts w:ascii="宋体" w:hAnsi="宋体" w:cs="宋体"/>
                <w:color w:val="auto"/>
                <w:szCs w:val="21"/>
                <w:highlight w:val="none"/>
              </w:rPr>
            </w:pPr>
            <w:r>
              <w:rPr>
                <w:rFonts w:hint="eastAsia" w:ascii="宋体" w:hAnsi="宋体"/>
                <w:color w:val="auto"/>
                <w:szCs w:val="21"/>
                <w:highlight w:val="none"/>
                <w:u w:val="single"/>
                <w:lang w:eastAsia="zh-CN"/>
              </w:rPr>
              <w:t xml:space="preserve">外包学院2026年度教学实训设备</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“苏采云”政府采购一体化平台</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hint="eastAsia" w:ascii="宋体" w:hAnsi="宋体" w:cs="宋体"/>
                <w:color w:val="auto"/>
                <w:szCs w:val="21"/>
                <w:highlight w:val="none"/>
                <w:u w:val="single"/>
                <w:lang w:eastAsia="zh-CN"/>
              </w:rPr>
              <w:t xml:space="preserve">2026年7月</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rPr>
              <w:t xml:space="preserve">14：00</w:t>
            </w:r>
            <w:r>
              <w:rPr>
                <w:rFonts w:ascii="宋体" w:hAnsi="宋体" w:cs="宋体"/>
                <w:color w:val="auto"/>
                <w:szCs w:val="21"/>
                <w:highlight w:val="none"/>
              </w:rPr>
              <w:t xml:space="preserve">（北京时间）前递交</w:t>
            </w:r>
            <w:r>
              <w:rPr>
                <w:rFonts w:hint="eastAsia" w:ascii="宋体" w:hAnsi="宋体" w:cs="宋体"/>
                <w:color w:val="auto"/>
                <w:szCs w:val="21"/>
                <w:highlight w:val="none"/>
              </w:rPr>
              <w:t xml:space="preserve">谈判</w:t>
            </w:r>
            <w:r>
              <w:rPr>
                <w:rFonts w:ascii="宋体" w:hAnsi="宋体" w:cs="宋体"/>
                <w:color w:val="auto"/>
                <w:szCs w:val="21"/>
                <w:highlight w:val="none"/>
              </w:rPr>
              <w:t xml:space="preserve">响应文件。</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rPr>
        <w:t xml:space="preserve">苏州工业园区服务外包职业学院</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外包学院2026年度教学实训设备</w:t>
      </w:r>
      <w:r>
        <w:rPr>
          <w:rFonts w:hint="eastAsia" w:ascii="宋体" w:hAnsi="宋体" w:cs="宋体"/>
          <w:color w:val="auto"/>
          <w:szCs w:val="21"/>
          <w:highlight w:val="none"/>
        </w:rPr>
        <w:t xml:space="preserve">进行竞争性谈判采购，现欢迎符合相关条件的供应商参加响应。</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一、项目基本情况</w:t>
      </w:r>
      <w:r/>
    </w:p>
    <w:p>
      <w:pPr>
        <w:ind w:firstLine="420"/>
        <w:jc w:val="left"/>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olor w:val="auto"/>
          <w:szCs w:val="21"/>
          <w:highlight w:val="none"/>
          <w:lang w:eastAsia="zh-CN"/>
        </w:rPr>
        <w:t xml:space="preserve">JSZC-320591-SZYX-T2026-0021</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外包学院2026年度教学实训设备</w:t>
      </w:r>
      <w:r>
        <w:rPr>
          <w:rFonts w:hint="eastAsia" w:ascii="宋体" w:hAnsi="宋体" w:cs="宋体"/>
          <w:color w:val="auto"/>
          <w:szCs w:val="21"/>
          <w:highlight w:val="none"/>
        </w:rPr>
        <w:t xml:space="preserve">，其中：</w:t>
      </w:r>
      <w:r/>
    </w:p>
    <w:p>
      <w:pPr>
        <w:ind w:firstLine="420"/>
        <w:jc w:val="left"/>
        <w:spacing w:line="400" w:lineRule="exact"/>
        <w:shd w:val="clear" w:color="auto" w:fill="ffffff"/>
        <w:widowControl/>
        <w:rPr>
          <w:rFonts w:ascii="宋体" w:hAnsi="宋体" w:cs="宋体"/>
          <w:color w:val="auto"/>
          <w:szCs w:val="21"/>
          <w:highlight w:val="none"/>
        </w:rPr>
      </w:pPr>
      <w:r/>
      <w:bookmarkStart w:id="0" w:name="OLE_LINK4"/>
      <w:r>
        <w:rPr>
          <w:rFonts w:hint="eastAsia" w:ascii="宋体" w:hAnsi="宋体" w:cs="宋体"/>
          <w:color w:val="auto"/>
          <w:szCs w:val="21"/>
          <w:highlight w:val="none"/>
        </w:rPr>
        <w:t xml:space="preserve">一标段：信息工程实训设备</w:t>
      </w:r>
      <w:bookmarkEnd w:id="0"/>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二标段：智能管理实训设备</w:t>
      </w:r>
      <w:bookmarkStart w:id="9" w:name="_GoBack"/>
      <w:r/>
      <w:bookmarkEnd w:id="9"/>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三标段：生物科技实训设备</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四标段：数字艺术实训设备</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五标段：金融实训设备</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六标段：商务管理实训设备</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采购方式：竞争性谈判</w:t>
      </w:r>
      <w:r/>
    </w:p>
    <w:p>
      <w:pPr>
        <w:ind w:firstLine="420"/>
        <w:jc w:val="left"/>
        <w:spacing w:line="400" w:lineRule="exact"/>
        <w:shd w:val="clear" w:color="auto" w:fill="ffffff"/>
        <w:widowControl/>
        <w:rPr>
          <w:rFonts w:ascii="宋体" w:hAnsi="宋体" w:cs="宋体"/>
          <w:bCs/>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bCs/>
          <w:color w:val="auto"/>
          <w:szCs w:val="21"/>
          <w:highlight w:val="none"/>
          <w:lang w:eastAsia="zh-CN"/>
        </w:rPr>
        <w:t xml:space="preserve">人民币</w:t>
      </w:r>
      <w:r>
        <w:rPr>
          <w:rFonts w:hint="eastAsia" w:ascii="宋体" w:hAnsi="宋体" w:cs="宋体"/>
          <w:bCs/>
          <w:color w:val="auto"/>
          <w:szCs w:val="21"/>
          <w:highlight w:val="none"/>
          <w:lang w:val="en-US" w:eastAsia="zh-CN"/>
        </w:rPr>
        <w:t xml:space="preserve">贰佰陆拾叁万叁仟玖佰玖拾</w:t>
      </w:r>
      <w:r>
        <w:rPr>
          <w:rFonts w:hint="eastAsia" w:ascii="宋体" w:hAnsi="宋体" w:cs="宋体"/>
          <w:bCs/>
          <w:color w:val="auto"/>
          <w:szCs w:val="21"/>
          <w:highlight w:val="none"/>
          <w:lang w:eastAsia="zh-CN"/>
        </w:rPr>
        <w:t xml:space="preserve">元整（￥</w:t>
      </w:r>
      <w:r>
        <w:rPr>
          <w:rFonts w:hint="eastAsia" w:ascii="宋体" w:hAnsi="宋体" w:cs="宋体"/>
          <w:bCs/>
          <w:color w:val="auto"/>
          <w:szCs w:val="21"/>
          <w:highlight w:val="none"/>
          <w:lang w:val="en-US" w:eastAsia="zh-CN"/>
        </w:rPr>
        <w:t xml:space="preserve">2633990</w:t>
      </w:r>
      <w:r>
        <w:rPr>
          <w:rFonts w:hint="eastAsia" w:ascii="宋体" w:hAnsi="宋体" w:cs="宋体"/>
          <w:bCs/>
          <w:color w:val="auto"/>
          <w:szCs w:val="21"/>
          <w:highlight w:val="none"/>
          <w:lang w:eastAsia="zh-CN"/>
        </w:rPr>
        <w:t xml:space="preserve">.00）</w:t>
      </w:r>
      <w:r>
        <w:rPr>
          <w:rFonts w:hint="eastAsia" w:ascii="宋体" w:hAnsi="宋体" w:cs="宋体"/>
          <w:bCs/>
          <w:color w:val="auto"/>
          <w:szCs w:val="21"/>
          <w:highlight w:val="none"/>
        </w:rPr>
        <w:t xml:space="preserve">，其中：</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一标段：人民币</w:t>
      </w:r>
      <w:r>
        <w:rPr>
          <w:rFonts w:hint="eastAsia" w:ascii="宋体" w:hAnsi="宋体" w:cs="宋体"/>
          <w:color w:val="auto"/>
          <w:szCs w:val="21"/>
          <w:highlight w:val="none"/>
          <w:lang w:val="en-US" w:eastAsia="zh-CN"/>
        </w:rPr>
        <w:t xml:space="preserve">肆拾肆万玖仟</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449000</w:t>
      </w:r>
      <w:r>
        <w:rPr>
          <w:rFonts w:hint="eastAsia" w:ascii="宋体" w:hAnsi="宋体" w:cs="宋体"/>
          <w:color w:val="auto"/>
          <w:szCs w:val="21"/>
          <w:highlight w:val="none"/>
        </w:rPr>
        <w:t xml:space="preserve">.00）</w:t>
      </w:r>
      <w:r/>
    </w:p>
    <w:p>
      <w:pPr>
        <w:ind w:firstLine="420"/>
        <w:jc w:val="left"/>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二标段：</w:t>
      </w:r>
      <w:r>
        <w:rPr>
          <w:rFonts w:hint="eastAsia" w:ascii="宋体" w:hAnsi="宋体" w:cs="宋体"/>
          <w:color w:val="auto"/>
          <w:szCs w:val="21"/>
          <w:highlight w:val="none"/>
          <w:lang w:eastAsia="zh-CN"/>
        </w:rPr>
        <w:t xml:space="preserve">人民币</w:t>
      </w:r>
      <w:r>
        <w:rPr>
          <w:rFonts w:hint="eastAsia" w:ascii="宋体" w:hAnsi="宋体" w:cs="宋体"/>
          <w:color w:val="auto"/>
          <w:szCs w:val="21"/>
          <w:highlight w:val="none"/>
          <w:lang w:val="en-US" w:eastAsia="zh-CN"/>
        </w:rPr>
        <w:t xml:space="preserve">陆拾壹万陆仟肆佰</w:t>
      </w:r>
      <w:r>
        <w:rPr>
          <w:rFonts w:hint="eastAsia" w:ascii="宋体" w:hAnsi="宋体" w:cs="宋体"/>
          <w:color w:val="auto"/>
          <w:szCs w:val="21"/>
          <w:highlight w:val="none"/>
          <w:lang w:eastAsia="zh-CN"/>
        </w:rPr>
        <w:t xml:space="preserve">元整（￥</w:t>
      </w:r>
      <w:r>
        <w:rPr>
          <w:rFonts w:hint="eastAsia" w:ascii="宋体" w:hAnsi="宋体" w:cs="宋体"/>
          <w:color w:val="auto"/>
          <w:szCs w:val="21"/>
          <w:highlight w:val="none"/>
          <w:lang w:val="en-US" w:eastAsia="zh-CN"/>
        </w:rPr>
        <w:t xml:space="preserve">6164</w:t>
      </w:r>
      <w:r>
        <w:rPr>
          <w:rFonts w:hint="eastAsia" w:ascii="宋体" w:hAnsi="宋体" w:cs="宋体"/>
          <w:color w:val="auto"/>
          <w:szCs w:val="21"/>
          <w:highlight w:val="none"/>
          <w:lang w:eastAsia="zh-CN"/>
        </w:rPr>
        <w:t xml:space="preserve">00.00）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三标段：人民币</w:t>
      </w:r>
      <w:r>
        <w:rPr>
          <w:rFonts w:hint="eastAsia" w:ascii="宋体" w:hAnsi="宋体" w:cs="宋体"/>
          <w:color w:val="auto"/>
          <w:szCs w:val="21"/>
          <w:highlight w:val="none"/>
          <w:lang w:val="en-US" w:eastAsia="zh-CN"/>
        </w:rPr>
        <w:t xml:space="preserve">叁拾玖万柒仟壹佰玖拾</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397190</w:t>
      </w:r>
      <w:r>
        <w:rPr>
          <w:rFonts w:hint="eastAsia" w:ascii="宋体" w:hAnsi="宋体" w:cs="宋体"/>
          <w:color w:val="auto"/>
          <w:szCs w:val="21"/>
          <w:highlight w:val="none"/>
        </w:rPr>
        <w:t xml:space="preserve">.00）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四标段：人民币</w:t>
      </w:r>
      <w:r>
        <w:rPr>
          <w:rFonts w:hint="eastAsia" w:ascii="宋体" w:hAnsi="宋体" w:cs="宋体"/>
          <w:color w:val="auto"/>
          <w:szCs w:val="21"/>
          <w:highlight w:val="none"/>
          <w:lang w:val="en-US" w:eastAsia="zh-CN"/>
        </w:rPr>
        <w:t xml:space="preserve">贰拾柒万伍仟肆佰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275400</w:t>
      </w:r>
      <w:r>
        <w:rPr>
          <w:rFonts w:hint="eastAsia" w:ascii="宋体" w:hAnsi="宋体" w:cs="宋体"/>
          <w:color w:val="auto"/>
          <w:szCs w:val="21"/>
          <w:highlight w:val="none"/>
        </w:rPr>
        <w:t xml:space="preserve">.00）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五标段：人民币</w:t>
      </w:r>
      <w:r>
        <w:rPr>
          <w:rFonts w:hint="eastAsia" w:ascii="宋体" w:hAnsi="宋体" w:cs="宋体"/>
          <w:color w:val="auto"/>
          <w:szCs w:val="21"/>
          <w:highlight w:val="none"/>
          <w:lang w:val="en-US" w:eastAsia="zh-CN"/>
        </w:rPr>
        <w:t xml:space="preserve">肆拾玖万陆仟</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496000</w:t>
      </w:r>
      <w:r>
        <w:rPr>
          <w:rFonts w:hint="eastAsia" w:ascii="宋体" w:hAnsi="宋体" w:cs="宋体"/>
          <w:color w:val="auto"/>
          <w:szCs w:val="21"/>
          <w:highlight w:val="none"/>
        </w:rPr>
        <w:t xml:space="preserve">.00）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六标段：人民币</w:t>
      </w:r>
      <w:r>
        <w:rPr>
          <w:rFonts w:hint="eastAsia" w:ascii="宋体" w:hAnsi="宋体" w:cs="宋体"/>
          <w:color w:val="auto"/>
          <w:szCs w:val="21"/>
          <w:highlight w:val="none"/>
          <w:lang w:val="en-US" w:eastAsia="zh-CN"/>
        </w:rPr>
        <w:t xml:space="preserve">肆拾万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400000</w:t>
      </w:r>
      <w:r>
        <w:rPr>
          <w:rFonts w:hint="eastAsia" w:ascii="宋体" w:hAnsi="宋体" w:cs="宋体"/>
          <w:color w:val="auto"/>
          <w:szCs w:val="21"/>
          <w:highlight w:val="none"/>
        </w:rPr>
        <w:t xml:space="preserve">.00）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详见采购需求</w:t>
      </w:r>
      <w:r>
        <w:rPr>
          <w:rFonts w:hint="eastAsia" w:ascii="宋体" w:hAnsi="宋体" w:cs="宋体"/>
          <w:color w:val="auto"/>
          <w:szCs w:val="21"/>
          <w:highlight w:val="none"/>
        </w:rPr>
        <w:t xml:space="preserve">采购清单</w:t>
      </w:r>
      <w:r>
        <w:rPr>
          <w:rFonts w:hint="eastAsia" w:ascii="宋体" w:hAnsi="宋体" w:cs="宋体"/>
          <w:color w:val="auto"/>
          <w:szCs w:val="21"/>
          <w:highlight w:val="none"/>
          <w:lang w:val="en-US" w:eastAsia="zh-CN"/>
        </w:rPr>
        <w:t xml:space="preserve">中</w:t>
      </w:r>
      <w:r>
        <w:rPr>
          <w:rFonts w:hint="eastAsia" w:ascii="宋体" w:hAnsi="宋体" w:cs="宋体"/>
          <w:color w:val="auto"/>
          <w:szCs w:val="21"/>
          <w:highlight w:val="none"/>
        </w:rPr>
        <w:t xml:space="preserve">单价最高限价</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采购需求：</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一标段采购清单：</w:t>
      </w:r>
      <w:r/>
    </w:p>
    <w:tbl>
      <w:tblPr>
        <w:tblStyle w:val="955"/>
        <w:tblW w:w="8198" w:type="dxa"/>
        <w:tblInd w:w="55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5952"/>
        <w:gridCol w:w="735"/>
        <w:gridCol w:w="758"/>
      </w:tblGrid>
      <w:tr>
        <w:trPr>
          <w:trHeight w:val="340"/>
        </w:trPr>
        <w:tc>
          <w:tcPr>
            <w:shd w:val="clear" w:color="auto" w:fill="ffffff"/>
            <w:tcW w:w="7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ffffff"/>
            <w:tcW w:w="7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340"/>
        </w:trPr>
        <w:tc>
          <w:tcPr>
            <w:shd w:val="clear" w:color="auto" w:fill="ffffff"/>
            <w:tcW w:w="7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工控安全场景展示沙盘</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台</w:t>
            </w:r>
            <w:r/>
          </w:p>
        </w:tc>
      </w:tr>
      <w:tr>
        <w:trPr>
          <w:trHeight w:val="340"/>
        </w:trPr>
        <w:tc>
          <w:tcPr>
            <w:shd w:val="clear" w:color="auto" w:fill="ffffff"/>
            <w:tcW w:w="7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工控安全控制系统</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工控安全数字孪生平台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个</w:t>
            </w:r>
            <w:r/>
          </w:p>
        </w:tc>
      </w:tr>
      <w:tr>
        <w:trPr>
          <w:trHeight w:val="345"/>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系统接口与开发测试平台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入侵攻击模拟演示平台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安全防护应急响应系统</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工控安全教学课程平台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shd w:val="clear" w:color="auto" w:fill="ffffff"/>
            <w:tcW w:w="595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新一代数字化网络实训靶场平台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二标段采购清单：</w:t>
      </w:r>
      <w:r/>
    </w:p>
    <w:tbl>
      <w:tblPr>
        <w:tblStyle w:val="955"/>
        <w:tblW w:w="8220" w:type="dxa"/>
        <w:tblInd w:w="5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908"/>
        <w:gridCol w:w="825"/>
        <w:gridCol w:w="705"/>
      </w:tblGrid>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嵌入式功能电路开发板套件</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嵌入式实时系统综合实验箱</w:t>
            </w:r>
            <w:r/>
          </w:p>
        </w:tc>
        <w:tc>
          <w:tcPr>
            <w:shd w:val="clear" w:color="auto" w:fill="auto"/>
            <w:tcW w:w="825"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无人机综合实训设备</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行业级无人机</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台</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电子技术基础实训设备</w:t>
            </w:r>
            <w:r/>
          </w:p>
        </w:tc>
        <w:tc>
          <w:tcPr>
            <w:shd w:val="clear" w:color="auto" w:fill="auto"/>
            <w:tcW w:w="825"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台</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三标段采购清单：</w:t>
      </w:r>
      <w:r/>
    </w:p>
    <w:tbl>
      <w:tblPr>
        <w:tblStyle w:val="955"/>
        <w:tblW w:w="8220" w:type="dxa"/>
        <w:tblInd w:w="5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908"/>
        <w:gridCol w:w="825"/>
        <w:gridCol w:w="705"/>
      </w:tblGrid>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序号</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医疗电子组装与维护控制板</w:t>
            </w:r>
            <w:r/>
          </w:p>
        </w:tc>
        <w:tc>
          <w:tcPr>
            <w:shd w:val="clear" w:color="auto" w:fill="auto"/>
            <w:tcW w:w="825"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45</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医疗电子组装与维护操作软硬件设备</w:t>
            </w:r>
            <w:r/>
          </w:p>
        </w:tc>
        <w:tc>
          <w:tcPr>
            <w:shd w:val="clear" w:color="auto" w:fill="auto"/>
            <w:tcW w:w="825"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w:t>
            </w:r>
            <w:r/>
          </w:p>
        </w:tc>
        <w:tc>
          <w:tcPr>
            <w:shd w:val="clear" w:color="auto" w:fill="auto"/>
            <w:tcW w:w="705" w:type="dxa"/>
            <w:vAlign w:val="center"/>
            <w:textDirection w:val="lrTb"/>
            <w:noWrap w:val="false"/>
          </w:tcPr>
          <w:p>
            <w:pPr>
              <w:jc w:val="center"/>
              <w:widowControl/>
              <w:rPr>
                <w:rFonts w:hint="default"/>
                <w:color w:val="auto"/>
                <w:highlight w:val="none"/>
                <w:lang w:val="en-US"/>
              </w:rPr>
            </w:pPr>
            <w:r>
              <w:rPr>
                <w:rFonts w:hint="eastAsia"/>
                <w:color w:val="auto"/>
                <w:highlight w:val="none"/>
                <w:lang w:val="en-US" w:eastAsia="zh-CN"/>
              </w:rPr>
              <w:t xml:space="preserve">套/点位</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医疗电子组装与维护检测仪</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三用紫外分析仪</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电子天平</w:t>
            </w:r>
            <w:r/>
          </w:p>
        </w:tc>
        <w:tc>
          <w:tcPr>
            <w:shd w:val="clear" w:color="auto" w:fill="auto"/>
            <w:tcW w:w="825"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套</w:t>
            </w:r>
            <w:r/>
          </w:p>
        </w:tc>
      </w:tr>
      <w:tr>
        <w:trPr>
          <w:trHeight w:val="315"/>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循环风系统</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rPr>
              <w:t xml:space="preserve">7</w:t>
            </w:r>
            <w:r/>
          </w:p>
        </w:tc>
        <w:tc>
          <w:tcPr>
            <w:shd w:val="clear" w:color="auto" w:fill="auto"/>
            <w:tcW w:w="5908"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eastAsia="zh-CN"/>
              </w:rPr>
              <w:t xml:space="preserve">实训室安全监控报警装备</w:t>
            </w:r>
            <w:r/>
          </w:p>
        </w:tc>
        <w:tc>
          <w:tcPr>
            <w:shd w:val="clear" w:color="auto" w:fill="auto"/>
            <w:tcW w:w="825"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eastAsia="zh-CN"/>
              </w:rPr>
              <w:t xml:space="preserve">套</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四标段采购清单：</w:t>
      </w:r>
      <w:r/>
    </w:p>
    <w:tbl>
      <w:tblPr>
        <w:tblStyle w:val="955"/>
        <w:tblW w:w="8220" w:type="dxa"/>
        <w:tblInd w:w="5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908"/>
        <w:gridCol w:w="825"/>
        <w:gridCol w:w="705"/>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9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数字化产品设计与开发赛训套件</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视觉艺术设计实训设备</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智能视频生成系统</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AIGC智能创作引擎</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五标段采购清单：</w:t>
      </w:r>
      <w:r/>
    </w:p>
    <w:tbl>
      <w:tblPr>
        <w:tblStyle w:val="955"/>
        <w:tblW w:w="8220" w:type="dxa"/>
        <w:tblInd w:w="5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908"/>
        <w:gridCol w:w="825"/>
        <w:gridCol w:w="705"/>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智能化成本核算与管理智慧平台</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大数据会计赛训一体化平台</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90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大数据技术竞赛硬件支撑及训练平台</w:t>
            </w:r>
            <w:r/>
          </w:p>
        </w:tc>
        <w:tc>
          <w:tcPr>
            <w:shd w:val="clear" w:color="auto" w:fill="auto"/>
            <w:tcW w:w="8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六标段采购清单：</w:t>
      </w:r>
      <w:r/>
    </w:p>
    <w:tbl>
      <w:tblPr>
        <w:tblStyle w:val="955"/>
        <w:tblW w:w="8220" w:type="dxa"/>
        <w:tblInd w:w="5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908"/>
        <w:gridCol w:w="825"/>
        <w:gridCol w:w="705"/>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9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908"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跨境电子商务实训平台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908"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数字商务人机协同通用能力平台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r>
    </w:tbl>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合同履约期限：合同签订之日起30天内交付并安装调试完毕。</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本项目不接受联合体响应。</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400" w:lineRule="exact"/>
        <w:tabs>
          <w:tab w:val="left" w:pos="567" w:leader="none"/>
        </w:tabs>
        <w:rPr>
          <w:rFonts w:ascii="宋体" w:hAnsi="宋体" w:cs="宋体"/>
          <w:color w:val="auto"/>
          <w:szCs w:val="21"/>
          <w:highlight w:val="none"/>
        </w:rPr>
      </w:pPr>
      <w:r/>
      <w:bookmarkStart w:id="1" w:name="_Toc916371710"/>
      <w:r>
        <w:rPr>
          <w:rFonts w:hint="eastAsia" w:ascii="宋体" w:hAnsi="宋体" w:cs="宋体"/>
          <w:color w:val="auto"/>
          <w:szCs w:val="21"/>
          <w:highlight w:val="none"/>
        </w:rPr>
        <w:t xml:space="preserve">(1)具有独立承担民事责任的能力；</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bookmarkEnd w:id="1"/>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(1)本项目所属行业为：工业。本项目除</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标段为非专门面向中小企业采购，其余标段均专门面向中小企业采购。供应商（除</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标段）参加本项目采购活动时应在响应文件中出具《中小企业声明函》，残疾人福利性单位（监狱企业）供应商提供的残疾人福利性单位声明函（监狱企业证明文件）视同提供了中小企业声明函。</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(2)单位负责人为同一人或者存在直接控股、管理关系的不同供应商，不得参加同一合同项下的政府采购活动。</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(3)为采购项目提供整体设计、规范编制或者项目管理、监理、检测等服务的供应商，不得再参加该采购项目的其他采购活动。</w:t>
      </w:r>
      <w:r/>
    </w:p>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)存在可能影响采购活动公平、公正的利害关系的不同供应商，不得参加同一合同项下的采购活动。</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3.本项目的特定资格要求：无。</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三、获取谈判采购文件：</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1.时间：自本采购公告发布之日起三个工作日</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江苏省政府采购一体化平台“苏采云”系统自行下载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四、响应文件提交</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2026年7月</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rPr>
        <w:t xml:space="preserve">14：00（北京时间）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rPr>
          <w:rFonts w:hint="eastAsia" w:ascii="宋体" w:hAnsi="宋体" w:cs="宋体"/>
          <w:color w:val="auto"/>
          <w:szCs w:val="21"/>
          <w:highlight w:val="none"/>
        </w:rPr>
        <w:t xml:space="preserve">响应文件网上递交，无需至现场参加采购活动</w:t>
      </w:r>
      <w:r>
        <w:rPr>
          <w:rFonts w:hint="eastAsia" w:ascii="宋体" w:hAnsi="宋体" w:cs="宋体"/>
          <w:color w:val="auto"/>
          <w:szCs w:val="21"/>
          <w:highlight w:val="none"/>
        </w:rPr>
        <w:t xml:space="preserve">。</w:t>
      </w:r>
      <w:r/>
    </w:p>
    <w:p>
      <w:pPr>
        <w:numPr>
          <w:ilvl w:val="0"/>
          <w:numId w:val="4"/>
        </w:num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2026年7月</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rPr>
        <w:t xml:space="preserve">14：00（北京时间）</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ind w:firstLine="420"/>
        <w:jc w:val="left"/>
        <w:spacing w:line="40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评标地点：苏州工业园区苏州大道东136号星塘大厦3楼北苏州工业园区公共资源交易中心</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六、公告期限：自本公告发布之日起3个工作日。</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七、其他相关事宜：</w:t>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1.CA证书办理：供应商</w:t>
      </w:r>
      <w:r>
        <w:rPr>
          <w:rFonts w:hint="eastAsia" w:ascii="宋体" w:hAnsi="宋体" w:cs="宋体"/>
          <w:color w:val="auto"/>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3.技术服务咨询电话：CA技术咨询电话：400-608-6099；电子签章技术咨询电话：</w:t>
      </w:r>
      <w:r>
        <w:rPr>
          <w:rFonts w:hint="eastAsia" w:ascii="宋体" w:hAnsi="宋体" w:cs="宋体"/>
          <w:color w:val="auto"/>
          <w:highlight w:val="none"/>
          <w:shd w:val="clear" w:color="auto" w:fill="ffffff"/>
        </w:rPr>
        <w:t xml:space="preserve">025-83633811、025-83633812、</w:t>
      </w:r>
      <w:r>
        <w:rPr>
          <w:rFonts w:hint="eastAsia" w:ascii="宋体" w:hAnsi="宋体" w:cs="宋体"/>
          <w:color w:val="auto"/>
          <w:highlight w:val="none"/>
        </w:rPr>
        <w:t xml:space="preserve">15380932027、15371015030；系统使用指导与咨询电话：18261002950（不见面项目）QQ：3048755361、895706745。</w:t>
      </w:r>
      <w:r/>
    </w:p>
    <w:p>
      <w:pPr>
        <w:ind w:firstLine="42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widowControl/>
        <w:rPr>
          <w:rFonts w:ascii="宋体" w:hAnsi="宋体" w:cs="宋体"/>
          <w:b/>
          <w:color w:val="auto"/>
          <w:highlight w:val="none"/>
        </w:rPr>
      </w:pPr>
      <w:r>
        <w:rPr>
          <w:rFonts w:hint="eastAsia" w:ascii="宋体" w:hAnsi="宋体" w:cs="宋体"/>
          <w:color w:val="auto"/>
          <w:highlight w:val="none"/>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rPr>
          <w:rFonts w:ascii="宋体" w:hAnsi="宋体" w:cs="宋体"/>
          <w:color w:val="auto"/>
          <w:highlight w:val="none"/>
        </w:rPr>
      </w:pPr>
      <w:r>
        <w:rPr>
          <w:rFonts w:hint="eastAsia" w:ascii="宋体" w:hAnsi="宋体" w:cs="宋体"/>
          <w:color w:val="auto"/>
          <w:highlight w:val="none"/>
        </w:rPr>
        <w:t xml:space="preserve">6.线上参加开标（开启）会方式：供应商登录“苏采云”系统，点击“开标大厅”，选择对应项目，点击进入不见面开标系统。</w:t>
      </w:r>
      <w:r/>
    </w:p>
    <w:p>
      <w:pPr>
        <w:ind w:firstLine="422"/>
        <w:jc w:val="left"/>
        <w:spacing w:line="400" w:lineRule="exact"/>
        <w:shd w:val="clear" w:color="auto" w:fill="ffffff"/>
        <w:widowControl/>
        <w:rPr>
          <w:rFonts w:ascii="宋体" w:hAnsi="宋体" w:cs="宋体"/>
          <w:color w:val="auto"/>
          <w:highlight w:val="none"/>
        </w:rPr>
      </w:pPr>
      <w:r>
        <w:rPr>
          <w:rFonts w:hint="eastAsia" w:ascii="宋体" w:hAnsi="宋体" w:cs="宋体"/>
          <w:color w:val="auto"/>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0"/>
        <w:spacing w:line="400" w:lineRule="exact"/>
        <w:widowControl/>
        <w:rPr>
          <w:rFonts w:ascii="宋体" w:hAnsi="宋体" w:cs="宋体"/>
          <w:color w:val="auto"/>
          <w:highlight w:val="none"/>
        </w:rPr>
      </w:pPr>
      <w:r>
        <w:rPr>
          <w:rFonts w:hint="eastAsia" w:ascii="宋体" w:hAnsi="宋体" w:cs="宋体"/>
          <w:color w:val="auto"/>
          <w:highlight w:val="none"/>
        </w:rPr>
        <w:t xml:space="preserve">8.请供应商确保电脑、系统及其他设备（视频输入输出设备等）无误，且开启直至项目结束始终保持系统在线状态</w:t>
      </w:r>
      <w:r/>
    </w:p>
    <w:p>
      <w:pPr>
        <w:ind w:firstLine="420"/>
        <w:spacing w:line="400" w:lineRule="exact"/>
        <w:widowControl/>
        <w:rPr>
          <w:rFonts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本项目支持政府采购合同信用融资。</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10.政府采购监督电话：0512-66681110</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11.本公告同时在江苏省政府采购网、苏州市政府采购网上发布。</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八、对本次采购提出询问，请按以下方式联系：</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 采购人信息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olor w:val="auto"/>
          <w:szCs w:val="21"/>
          <w:highlight w:val="none"/>
        </w:rPr>
        <w:t xml:space="preserve">苏州工业园区服务外包职业学院</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地址：苏州工业园区松涛街208号</w:t>
      </w:r>
      <w:r/>
    </w:p>
    <w:p>
      <w:pPr>
        <w:pStyle w:val="990"/>
        <w:spacing w:line="400" w:lineRule="exact"/>
        <w:rPr>
          <w:rFonts w:hAnsi="宋体" w:cs="宋体"/>
          <w:color w:val="auto"/>
          <w:szCs w:val="21"/>
          <w:highlight w:val="none"/>
        </w:rPr>
      </w:pPr>
      <w:r>
        <w:rPr>
          <w:rFonts w:hint="eastAsia" w:hAnsi="宋体" w:cs="宋体"/>
          <w:color w:val="auto"/>
          <w:szCs w:val="21"/>
          <w:highlight w:val="none"/>
        </w:rPr>
        <w:t xml:space="preserve">联系方式：13862177740</w:t>
      </w:r>
      <w:r/>
    </w:p>
    <w:p>
      <w:pPr>
        <w:pStyle w:val="990"/>
        <w:spacing w:line="400" w:lineRule="exact"/>
        <w:rPr>
          <w:rFonts w:hint="eastAsia"/>
          <w:color w:val="auto"/>
          <w:highlight w:val="none"/>
        </w:rPr>
      </w:pPr>
      <w:r>
        <w:rPr>
          <w:rFonts w:hint="eastAsia" w:hAnsi="宋体" w:cs="宋体"/>
          <w:color w:val="auto"/>
          <w:szCs w:val="21"/>
          <w:highlight w:val="none"/>
        </w:rPr>
        <w:t xml:space="preserve">联系人：</w:t>
      </w:r>
      <w:r>
        <w:rPr>
          <w:rFonts w:hint="eastAsia"/>
          <w:color w:val="auto"/>
          <w:highlight w:val="none"/>
        </w:rPr>
        <w:t xml:space="preserve">程老师</w:t>
      </w:r>
      <w:r/>
    </w:p>
    <w:p>
      <w:pPr>
        <w:pStyle w:val="990"/>
        <w:spacing w:line="400" w:lineRule="exact"/>
        <w:rPr>
          <w:rFonts w:hint="eastAsia"/>
          <w:color w:val="auto"/>
          <w:highlight w:val="none"/>
          <w:lang w:val="en-US" w:eastAsia="zh-CN"/>
        </w:rPr>
      </w:pPr>
      <w:r>
        <w:rPr>
          <w:rFonts w:hint="eastAsia"/>
          <w:color w:val="auto"/>
          <w:highlight w:val="none"/>
          <w:lang w:val="en-US" w:eastAsia="zh-CN"/>
        </w:rPr>
        <w:t xml:space="preserve">各标段老师联系人及联系方式：</w:t>
      </w:r>
      <w:r/>
    </w:p>
    <w:p>
      <w:pPr>
        <w:pStyle w:val="990"/>
        <w:spacing w:line="400" w:lineRule="exact"/>
        <w:rPr>
          <w:rFonts w:hint="default" w:hAnsi="宋体" w:cs="宋体"/>
          <w:color w:val="auto"/>
          <w:szCs w:val="21"/>
          <w:highlight w:val="none"/>
          <w:lang w:val="en-US" w:eastAsia="zh-CN"/>
        </w:rPr>
      </w:pPr>
      <w:r>
        <w:rPr>
          <w:rFonts w:hint="default" w:hAnsi="宋体" w:cs="宋体"/>
          <w:color w:val="auto"/>
          <w:szCs w:val="21"/>
          <w:highlight w:val="none"/>
          <w:lang w:val="en-US" w:eastAsia="zh-CN"/>
        </w:rPr>
        <w:t xml:space="preserve">一标段</w:t>
      </w:r>
      <w:r>
        <w:rPr>
          <w:rFonts w:hint="eastAsia" w:hAnsi="宋体" w:cs="宋体"/>
          <w:color w:val="auto"/>
          <w:szCs w:val="21"/>
          <w:highlight w:val="none"/>
          <w:lang w:val="en-US" w:eastAsia="zh-CN"/>
        </w:rPr>
        <w:t xml:space="preserve">：</w:t>
      </w:r>
      <w:r>
        <w:rPr>
          <w:rFonts w:hint="default" w:hAnsi="宋体" w:cs="宋体"/>
          <w:color w:val="auto"/>
          <w:szCs w:val="21"/>
          <w:highlight w:val="none"/>
          <w:lang w:val="en-US" w:eastAsia="zh-CN"/>
        </w:rPr>
        <w:t xml:space="preserve">蒋老师</w:t>
      </w:r>
      <w:r>
        <w:rPr>
          <w:rFonts w:hint="default" w:hAnsi="宋体" w:cs="宋体"/>
          <w:color w:val="auto"/>
          <w:szCs w:val="21"/>
          <w:highlight w:val="none"/>
          <w:lang w:val="en-US" w:eastAsia="zh-CN"/>
        </w:rPr>
        <w:tab/>
      </w:r>
      <w:r>
        <w:rPr>
          <w:rFonts w:hint="default" w:hAnsi="宋体" w:cs="宋体"/>
          <w:color w:val="auto"/>
          <w:szCs w:val="21"/>
          <w:highlight w:val="none"/>
          <w:lang w:val="en-US" w:eastAsia="zh-CN"/>
        </w:rPr>
        <w:t xml:space="preserve">13382142105</w:t>
      </w:r>
      <w:r/>
    </w:p>
    <w:p>
      <w:pPr>
        <w:pStyle w:val="990"/>
        <w:spacing w:line="400" w:lineRule="exact"/>
        <w:rPr>
          <w:rFonts w:hint="default" w:hAnsi="宋体" w:cs="宋体"/>
          <w:color w:val="auto"/>
          <w:szCs w:val="21"/>
          <w:highlight w:val="none"/>
          <w:lang w:val="en-US" w:eastAsia="zh-CN"/>
        </w:rPr>
      </w:pPr>
      <w:r>
        <w:rPr>
          <w:rFonts w:hint="default" w:hAnsi="宋体" w:cs="宋体"/>
          <w:color w:val="auto"/>
          <w:szCs w:val="21"/>
          <w:highlight w:val="none"/>
          <w:lang w:val="en-US" w:eastAsia="zh-CN"/>
        </w:rPr>
        <w:t xml:space="preserve">二标段</w:t>
      </w:r>
      <w:r>
        <w:rPr>
          <w:rFonts w:hint="eastAsia" w:hAnsi="宋体" w:cs="宋体"/>
          <w:color w:val="auto"/>
          <w:szCs w:val="21"/>
          <w:highlight w:val="none"/>
          <w:lang w:val="en-US" w:eastAsia="zh-CN"/>
        </w:rPr>
        <w:t xml:space="preserve">：</w:t>
      </w:r>
      <w:r>
        <w:rPr>
          <w:rFonts w:hint="default" w:hAnsi="宋体" w:cs="宋体"/>
          <w:color w:val="auto"/>
          <w:szCs w:val="21"/>
          <w:highlight w:val="none"/>
          <w:lang w:val="en-US" w:eastAsia="zh-CN"/>
        </w:rPr>
        <w:t xml:space="preserve">陈老师</w:t>
      </w:r>
      <w:r>
        <w:rPr>
          <w:rFonts w:hint="default" w:hAnsi="宋体" w:cs="宋体"/>
          <w:color w:val="auto"/>
          <w:szCs w:val="21"/>
          <w:highlight w:val="none"/>
          <w:lang w:val="en-US" w:eastAsia="zh-CN"/>
        </w:rPr>
        <w:tab/>
      </w:r>
      <w:r>
        <w:rPr>
          <w:rFonts w:hint="default" w:hAnsi="宋体" w:cs="宋体"/>
          <w:color w:val="auto"/>
          <w:szCs w:val="21"/>
          <w:highlight w:val="none"/>
          <w:lang w:val="en-US" w:eastAsia="zh-CN"/>
        </w:rPr>
        <w:t xml:space="preserve">13862009596</w:t>
      </w:r>
      <w:r/>
    </w:p>
    <w:p>
      <w:pPr>
        <w:pStyle w:val="990"/>
        <w:spacing w:line="400" w:lineRule="exact"/>
        <w:rPr>
          <w:rFonts w:hint="default" w:hAnsi="宋体" w:cs="宋体"/>
          <w:color w:val="auto"/>
          <w:szCs w:val="21"/>
          <w:highlight w:val="none"/>
          <w:lang w:val="en-US" w:eastAsia="zh-CN"/>
        </w:rPr>
      </w:pPr>
      <w:r>
        <w:rPr>
          <w:rFonts w:hint="default" w:hAnsi="宋体" w:cs="宋体"/>
          <w:color w:val="auto"/>
          <w:szCs w:val="21"/>
          <w:highlight w:val="none"/>
          <w:lang w:val="en-US" w:eastAsia="zh-CN"/>
        </w:rPr>
        <w:t xml:space="preserve">三标段</w:t>
      </w:r>
      <w:r>
        <w:rPr>
          <w:rFonts w:hint="eastAsia" w:hAnsi="宋体" w:cs="宋体"/>
          <w:color w:val="auto"/>
          <w:szCs w:val="21"/>
          <w:highlight w:val="none"/>
          <w:lang w:val="en-US" w:eastAsia="zh-CN"/>
        </w:rPr>
        <w:t xml:space="preserve">：</w:t>
      </w:r>
      <w:r>
        <w:rPr>
          <w:rFonts w:hint="default" w:hAnsi="宋体" w:cs="宋体"/>
          <w:color w:val="auto"/>
          <w:szCs w:val="21"/>
          <w:highlight w:val="none"/>
          <w:lang w:val="en-US" w:eastAsia="zh-CN"/>
        </w:rPr>
        <w:t xml:space="preserve">梅老师</w:t>
      </w:r>
      <w:r>
        <w:rPr>
          <w:rFonts w:hint="default" w:hAnsi="宋体" w:cs="宋体"/>
          <w:color w:val="auto"/>
          <w:szCs w:val="21"/>
          <w:highlight w:val="none"/>
          <w:lang w:val="en-US" w:eastAsia="zh-CN"/>
        </w:rPr>
        <w:tab/>
      </w:r>
      <w:r>
        <w:rPr>
          <w:rFonts w:hint="default" w:hAnsi="宋体" w:cs="宋体"/>
          <w:color w:val="auto"/>
          <w:szCs w:val="21"/>
          <w:highlight w:val="none"/>
          <w:lang w:val="en-US" w:eastAsia="zh-CN"/>
        </w:rPr>
        <w:t xml:space="preserve">18100672320</w:t>
      </w:r>
      <w:r/>
    </w:p>
    <w:p>
      <w:pPr>
        <w:pStyle w:val="990"/>
        <w:spacing w:line="400" w:lineRule="exact"/>
        <w:rPr>
          <w:rFonts w:hint="default" w:hAnsi="宋体" w:cs="宋体"/>
          <w:color w:val="auto"/>
          <w:szCs w:val="21"/>
          <w:highlight w:val="none"/>
          <w:lang w:val="en-US" w:eastAsia="zh-CN"/>
        </w:rPr>
      </w:pPr>
      <w:r>
        <w:rPr>
          <w:rFonts w:hint="default" w:hAnsi="宋体" w:cs="宋体"/>
          <w:color w:val="auto"/>
          <w:szCs w:val="21"/>
          <w:highlight w:val="none"/>
          <w:lang w:val="en-US" w:eastAsia="zh-CN"/>
        </w:rPr>
        <w:t xml:space="preserve">四标段</w:t>
      </w:r>
      <w:r>
        <w:rPr>
          <w:rFonts w:hint="eastAsia" w:hAnsi="宋体" w:cs="宋体"/>
          <w:color w:val="auto"/>
          <w:szCs w:val="21"/>
          <w:highlight w:val="none"/>
          <w:lang w:val="en-US" w:eastAsia="zh-CN"/>
        </w:rPr>
        <w:t xml:space="preserve">：</w:t>
      </w:r>
      <w:r>
        <w:rPr>
          <w:rFonts w:hint="default" w:hAnsi="宋体" w:cs="宋体"/>
          <w:color w:val="auto"/>
          <w:szCs w:val="21"/>
          <w:highlight w:val="none"/>
          <w:lang w:val="en-US" w:eastAsia="zh-CN"/>
        </w:rPr>
        <w:t xml:space="preserve">张老师</w:t>
      </w:r>
      <w:r>
        <w:rPr>
          <w:rFonts w:hint="default" w:hAnsi="宋体" w:cs="宋体"/>
          <w:color w:val="auto"/>
          <w:szCs w:val="21"/>
          <w:highlight w:val="none"/>
          <w:lang w:val="en-US" w:eastAsia="zh-CN"/>
        </w:rPr>
        <w:tab/>
      </w:r>
      <w:r>
        <w:rPr>
          <w:rFonts w:hint="default" w:hAnsi="宋体" w:cs="宋体"/>
          <w:color w:val="auto"/>
          <w:szCs w:val="21"/>
          <w:highlight w:val="none"/>
          <w:lang w:val="en-US" w:eastAsia="zh-CN"/>
        </w:rPr>
        <w:t xml:space="preserve">18606203579</w:t>
      </w:r>
      <w:r/>
    </w:p>
    <w:p>
      <w:pPr>
        <w:pStyle w:val="990"/>
        <w:spacing w:line="400" w:lineRule="exact"/>
        <w:rPr>
          <w:rFonts w:hint="default" w:hAnsi="宋体" w:cs="宋体"/>
          <w:color w:val="auto"/>
          <w:szCs w:val="21"/>
          <w:highlight w:val="none"/>
          <w:lang w:val="en-US" w:eastAsia="zh-CN"/>
        </w:rPr>
      </w:pPr>
      <w:r>
        <w:rPr>
          <w:rFonts w:hint="default" w:hAnsi="宋体" w:cs="宋体"/>
          <w:color w:val="auto"/>
          <w:szCs w:val="21"/>
          <w:highlight w:val="none"/>
          <w:lang w:val="en-US" w:eastAsia="zh-CN"/>
        </w:rPr>
        <w:t xml:space="preserve">五标段</w:t>
      </w:r>
      <w:r>
        <w:rPr>
          <w:rFonts w:hint="eastAsia" w:hAnsi="宋体" w:cs="宋体"/>
          <w:color w:val="auto"/>
          <w:szCs w:val="21"/>
          <w:highlight w:val="none"/>
          <w:lang w:val="en-US" w:eastAsia="zh-CN"/>
        </w:rPr>
        <w:t xml:space="preserve">：</w:t>
      </w:r>
      <w:r>
        <w:rPr>
          <w:rFonts w:hint="default" w:hAnsi="宋体" w:cs="宋体"/>
          <w:color w:val="auto"/>
          <w:szCs w:val="21"/>
          <w:highlight w:val="none"/>
          <w:lang w:val="en-US" w:eastAsia="zh-CN"/>
        </w:rPr>
        <w:t xml:space="preserve">丁老师</w:t>
      </w:r>
      <w:r>
        <w:rPr>
          <w:rFonts w:hint="default" w:hAnsi="宋体" w:cs="宋体"/>
          <w:color w:val="auto"/>
          <w:szCs w:val="21"/>
          <w:highlight w:val="none"/>
          <w:lang w:val="en-US" w:eastAsia="zh-CN"/>
        </w:rPr>
        <w:tab/>
      </w:r>
      <w:r>
        <w:rPr>
          <w:rFonts w:hint="default" w:hAnsi="宋体" w:cs="宋体"/>
          <w:color w:val="auto"/>
          <w:szCs w:val="21"/>
          <w:highlight w:val="none"/>
          <w:lang w:val="en-US" w:eastAsia="zh-CN"/>
        </w:rPr>
        <w:t xml:space="preserve">13375184767</w:t>
      </w:r>
      <w:r/>
    </w:p>
    <w:p>
      <w:pPr>
        <w:pStyle w:val="990"/>
        <w:spacing w:line="400" w:lineRule="exact"/>
        <w:rPr>
          <w:rFonts w:hint="default" w:hAnsi="宋体" w:cs="宋体"/>
          <w:color w:val="auto"/>
          <w:szCs w:val="21"/>
          <w:highlight w:val="none"/>
          <w:lang w:val="en-US" w:eastAsia="zh-CN"/>
        </w:rPr>
      </w:pPr>
      <w:r>
        <w:rPr>
          <w:rFonts w:hint="default" w:hAnsi="宋体" w:cs="宋体"/>
          <w:color w:val="auto"/>
          <w:szCs w:val="21"/>
          <w:highlight w:val="none"/>
          <w:lang w:val="en-US" w:eastAsia="zh-CN"/>
        </w:rPr>
        <w:t xml:space="preserve">六标段</w:t>
      </w:r>
      <w:r>
        <w:rPr>
          <w:rFonts w:hint="eastAsia" w:hAnsi="宋体" w:cs="宋体"/>
          <w:color w:val="auto"/>
          <w:szCs w:val="21"/>
          <w:highlight w:val="none"/>
          <w:lang w:val="en-US" w:eastAsia="zh-CN"/>
        </w:rPr>
        <w:t xml:space="preserve">：</w:t>
      </w:r>
      <w:r>
        <w:rPr>
          <w:rFonts w:hint="default" w:hAnsi="宋体" w:cs="宋体"/>
          <w:color w:val="auto"/>
          <w:szCs w:val="21"/>
          <w:highlight w:val="none"/>
          <w:lang w:val="en-US" w:eastAsia="zh-CN"/>
        </w:rPr>
        <w:t xml:space="preserve">杜老师</w:t>
      </w:r>
      <w:r>
        <w:rPr>
          <w:rFonts w:hint="default" w:hAnsi="宋体" w:cs="宋体"/>
          <w:color w:val="auto"/>
          <w:szCs w:val="21"/>
          <w:highlight w:val="none"/>
          <w:lang w:val="en-US" w:eastAsia="zh-CN"/>
        </w:rPr>
        <w:tab/>
      </w:r>
      <w:r>
        <w:rPr>
          <w:rFonts w:hint="default" w:hAnsi="宋体" w:cs="宋体"/>
          <w:color w:val="auto"/>
          <w:szCs w:val="21"/>
          <w:highlight w:val="none"/>
          <w:lang w:val="en-US" w:eastAsia="zh-CN"/>
        </w:rPr>
        <w:t xml:space="preserve">13625289900</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 采购代理机构</w:t>
      </w:r>
      <w:r>
        <w:rPr>
          <w:rFonts w:hint="eastAsia" w:cs="宋体"/>
          <w:color w:val="auto"/>
          <w:highlight w:val="none"/>
        </w:rPr>
        <w:t xml:space="preserve">信息</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名称：苏州市原鑫招投标咨询服务有限公司</w:t>
      </w:r>
      <w:r/>
    </w:p>
    <w:p>
      <w:pPr>
        <w:ind w:firstLine="420"/>
        <w:jc w:val="left"/>
        <w:spacing w:line="4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苏州工业园区苏州大道西313号嘉实大厦东楼5楼</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联系方式：0512-68364647、68361806*8002</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rPr>
        <w:t xml:space="preserve">金健、周详、祝晓忠、周悦婷</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电话：0512-68364647、68361806*8002 </w:t>
      </w:r>
      <w:r/>
    </w:p>
    <w:p>
      <w:pPr>
        <w:numPr>
          <w:ilvl w:val="0"/>
          <w:numId w:val="5"/>
        </w:numPr>
        <w:jc w:val="center"/>
        <w:spacing w:line="400" w:lineRule="exact"/>
        <w:tabs>
          <w:tab w:val="left" w:pos="5250" w:leader="none"/>
        </w:tabs>
        <w:rPr>
          <w:rFonts w:ascii="宋体" w:hAnsi="宋体"/>
          <w:b/>
          <w:bCs/>
          <w:color w:val="auto"/>
          <w:sz w:val="32"/>
          <w:szCs w:val="32"/>
          <w:highlight w:val="none"/>
        </w:rPr>
        <w:outlineLvl w:val="0"/>
      </w:pPr>
      <w:r>
        <w:rPr>
          <w:rFonts w:ascii="宋体" w:hAnsi="宋体"/>
          <w:color w:val="auto"/>
          <w:szCs w:val="21"/>
          <w:highlight w:val="none"/>
        </w:rPr>
        <w:br w:type="page" w:clear="all"/>
      </w:r>
      <w:r>
        <w:rPr>
          <w:rFonts w:hint="eastAsia" w:ascii="宋体" w:hAnsi="宋体"/>
          <w:b/>
          <w:bCs/>
          <w:color w:val="auto"/>
          <w:sz w:val="32"/>
          <w:szCs w:val="32"/>
          <w:highlight w:val="none"/>
        </w:rPr>
        <w:t xml:space="preserve">谈判文件</w:t>
      </w:r>
      <w:r/>
    </w:p>
    <w:p>
      <w:pPr>
        <w:ind w:firstLine="420"/>
        <w:jc w:val="left"/>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olor w:val="auto"/>
          <w:szCs w:val="21"/>
          <w:highlight w:val="none"/>
        </w:rPr>
        <w:t xml:space="preserve">苏州工业园区服务外包职业学院</w:t>
      </w:r>
      <w:r>
        <w:rPr>
          <w:rFonts w:hint="eastAsia" w:ascii="宋体" w:hAnsi="宋体" w:cs="宋体"/>
          <w:color w:val="auto"/>
          <w:szCs w:val="21"/>
          <w:highlight w:val="none"/>
        </w:rPr>
        <w:t xml:space="preserve">的委托，就</w:t>
      </w:r>
      <w:r>
        <w:rPr>
          <w:rFonts w:hint="eastAsia" w:ascii="宋体" w:hAnsi="宋体"/>
          <w:color w:val="auto"/>
          <w:szCs w:val="21"/>
          <w:highlight w:val="none"/>
          <w:lang w:eastAsia="zh-CN"/>
        </w:rPr>
        <w:t xml:space="preserve">外包学院2026年度教学实训设备</w:t>
      </w:r>
      <w:r>
        <w:rPr>
          <w:rFonts w:hint="eastAsia" w:ascii="宋体" w:hAnsi="宋体" w:cs="宋体"/>
          <w:color w:val="auto"/>
          <w:szCs w:val="21"/>
          <w:highlight w:val="none"/>
        </w:rPr>
        <w:t xml:space="preserve">进行竞争性谈判采购，现欢迎符合相关条件的供应商参加响应。</w:t>
      </w:r>
      <w:r/>
    </w:p>
    <w:p>
      <w:pPr>
        <w:numPr>
          <w:ilvl w:val="0"/>
          <w:numId w:val="6"/>
        </w:numPr>
        <w:contextualSpacing/>
        <w:spacing w:line="400" w:lineRule="exact"/>
        <w:tabs>
          <w:tab w:val="left" w:pos="0" w:leader="none"/>
        </w:tabs>
        <w:rPr>
          <w:rFonts w:ascii="宋体" w:hAnsi="宋体" w:cs="宋体"/>
          <w:bCs/>
          <w:color w:val="auto"/>
          <w:highlight w:val="none"/>
        </w:rPr>
      </w:pPr>
      <w:r>
        <w:rPr>
          <w:rFonts w:hint="eastAsia" w:ascii="宋体" w:hAnsi="宋体" w:cs="宋体"/>
          <w:bCs/>
          <w:color w:val="auto"/>
          <w:highlight w:val="none"/>
        </w:rPr>
        <w:t xml:space="preserve">采购内容：</w:t>
      </w:r>
      <w:r>
        <w:rPr>
          <w:rFonts w:hint="eastAsia" w:ascii="宋体" w:hAnsi="宋体" w:cs="宋体"/>
          <w:bCs/>
          <w:color w:val="auto"/>
          <w:szCs w:val="21"/>
          <w:highlight w:val="none"/>
          <w:lang w:eastAsia="zh-CN"/>
        </w:rPr>
        <w:t xml:space="preserve">外包学院2026年度教学实训设备</w:t>
      </w:r>
      <w:r/>
    </w:p>
    <w:p>
      <w:pPr>
        <w:numPr>
          <w:ilvl w:val="0"/>
          <w:numId w:val="6"/>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采购编号：</w:t>
      </w:r>
      <w:r>
        <w:rPr>
          <w:rFonts w:hint="eastAsia" w:ascii="宋体" w:hAnsi="宋体" w:cs="宋体"/>
          <w:bCs/>
          <w:color w:val="auto"/>
          <w:szCs w:val="21"/>
          <w:highlight w:val="none"/>
          <w:lang w:eastAsia="zh-CN"/>
        </w:rPr>
        <w:t xml:space="preserve">JSZC-320591-SZYX-T2026-0021</w:t>
      </w:r>
      <w:r/>
    </w:p>
    <w:p>
      <w:pPr>
        <w:numPr>
          <w:ilvl w:val="0"/>
          <w:numId w:val="6"/>
        </w:numPr>
        <w:contextualSpacing/>
        <w:spacing w:line="400" w:lineRule="exact"/>
        <w:tabs>
          <w:tab w:val="left" w:pos="0" w:leader="none"/>
        </w:tabs>
        <w:rPr>
          <w:rFonts w:ascii="宋体" w:hAnsi="宋体" w:cs="宋体"/>
          <w:color w:val="auto"/>
          <w:szCs w:val="21"/>
          <w:highlight w:val="none"/>
        </w:rPr>
      </w:pPr>
      <w:r>
        <w:rPr>
          <w:rFonts w:hint="eastAsia" w:ascii="宋体" w:hAnsi="宋体" w:cs="宋体"/>
          <w:bCs/>
          <w:color w:val="auto"/>
          <w:szCs w:val="21"/>
          <w:highlight w:val="none"/>
        </w:rPr>
        <w:t xml:space="preserve">采购需求：</w:t>
      </w:r>
      <w:r/>
    </w:p>
    <w:p>
      <w:pPr>
        <w:numPr>
          <w:ilvl w:val="0"/>
          <w:numId w:val="7"/>
        </w:numPr>
        <w:contextualSpacing/>
        <w:spacing w:line="400" w:lineRule="exact"/>
        <w:tabs>
          <w:tab w:val="left" w:pos="0" w:leader="none"/>
        </w:tabs>
        <w:rPr>
          <w:rFonts w:ascii="宋体" w:hAnsi="宋体" w:cs="宋体"/>
          <w:color w:val="auto"/>
          <w:highlight w:val="none"/>
        </w:rPr>
      </w:pPr>
      <w:r>
        <w:rPr>
          <w:rFonts w:hint="eastAsia" w:ascii="宋体" w:hAnsi="宋体" w:cs="宋体"/>
          <w:bCs/>
          <w:color w:val="auto"/>
          <w:szCs w:val="21"/>
          <w:highlight w:val="none"/>
        </w:rPr>
        <w:t xml:space="preserve">采购内容及要求</w:t>
      </w:r>
      <w:r/>
    </w:p>
    <w:p>
      <w:pPr>
        <w:jc w:val="center"/>
        <w:spacing w:line="40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一标段</w:t>
      </w:r>
      <w:r>
        <w:rPr>
          <w:rFonts w:hint="eastAsia" w:ascii="宋体" w:hAnsi="宋体" w:cs="宋体"/>
          <w:b/>
          <w:bCs/>
          <w:color w:val="auto"/>
          <w:szCs w:val="21"/>
          <w:highlight w:val="none"/>
          <w:lang w:eastAsia="zh-CN"/>
        </w:rPr>
        <w:t xml:space="preserve">：信息工程实训设备</w:t>
      </w:r>
      <w:r/>
    </w:p>
    <w:p>
      <w:pPr>
        <w:numPr>
          <w:ilvl w:val="0"/>
          <w:numId w:val="8"/>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采购清单：</w:t>
      </w:r>
      <w:r/>
    </w:p>
    <w:tbl>
      <w:tblPr>
        <w:tblStyle w:val="955"/>
        <w:tblW w:w="1031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5946"/>
        <w:gridCol w:w="735"/>
        <w:gridCol w:w="758"/>
        <w:gridCol w:w="2122"/>
      </w:tblGrid>
      <w:tr>
        <w:trPr>
          <w:trHeight w:val="340"/>
        </w:trPr>
        <w:tc>
          <w:tcPr>
            <w:shd w:val="clear" w:color="auto" w:fill="ffffff"/>
            <w:tcW w:w="7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ffffff"/>
            <w:tcW w:w="7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单价最高限价（元）</w:t>
            </w:r>
            <w:r/>
          </w:p>
        </w:tc>
      </w:tr>
      <w:tr>
        <w:trPr>
          <w:trHeight w:val="340"/>
        </w:trPr>
        <w:tc>
          <w:tcPr>
            <w:shd w:val="clear" w:color="auto" w:fill="ffffff"/>
            <w:tcW w:w="7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工控安全场景展示沙盘</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台</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79000</w:t>
            </w:r>
            <w:r/>
          </w:p>
        </w:tc>
      </w:tr>
      <w:tr>
        <w:trPr>
          <w:trHeight w:val="340"/>
        </w:trPr>
        <w:tc>
          <w:tcPr>
            <w:shd w:val="clear" w:color="auto" w:fill="ffffff"/>
            <w:tcW w:w="7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工控安全控制系统</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40000</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工控安全数字孪生平台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个</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40000</w:t>
            </w:r>
            <w:r/>
          </w:p>
        </w:tc>
      </w:tr>
      <w:tr>
        <w:trPr>
          <w:trHeight w:val="345"/>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系统接口与开发测试平台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30000</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入侵攻击模拟演示平台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40000</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安全防护应急响应系统</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40000</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工控安全教学课程平台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30000</w:t>
            </w:r>
            <w:r/>
          </w:p>
        </w:tc>
      </w:tr>
      <w:tr>
        <w:trPr>
          <w:trHeight w:val="340"/>
        </w:trPr>
        <w:tc>
          <w:tcPr>
            <w:shd w:val="clear" w:color="auto" w:fill="ffffff"/>
            <w:tcW w:w="753"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shd w:val="clear" w:color="auto" w:fill="ffffff"/>
            <w:tcW w:w="594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新一代数字化网络实训靶场平台</w:t>
            </w:r>
            <w:r/>
          </w:p>
        </w:tc>
        <w:tc>
          <w:tcPr>
            <w:shd w:val="clear" w:color="auto" w:fill="ffffff"/>
            <w:tcW w:w="73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ffffff"/>
            <w:tcW w:w="75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个</w:t>
            </w:r>
            <w:r/>
          </w:p>
        </w:tc>
        <w:tc>
          <w:tcPr>
            <w:shd w:val="clear" w:color="auto" w:fill="ffffff"/>
            <w:tcW w:w="21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150000</w:t>
            </w:r>
            <w:r/>
          </w:p>
        </w:tc>
      </w:tr>
    </w:tbl>
    <w:p>
      <w:pPr>
        <w:numPr>
          <w:ilvl w:val="0"/>
          <w:numId w:val="8"/>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详细</w:t>
      </w:r>
      <w:r>
        <w:rPr>
          <w:rFonts w:hint="eastAsia" w:ascii="宋体" w:hAnsi="宋体" w:cs="宋体"/>
          <w:color w:val="auto"/>
          <w:szCs w:val="21"/>
          <w:highlight w:val="none"/>
        </w:rPr>
        <w:t xml:space="preserve">技术</w:t>
      </w:r>
      <w:r>
        <w:rPr>
          <w:rFonts w:hint="eastAsia" w:ascii="宋体" w:hAnsi="宋体"/>
          <w:color w:val="auto"/>
          <w:szCs w:val="21"/>
          <w:highlight w:val="none"/>
        </w:rPr>
        <w:t xml:space="preserve">参数</w:t>
      </w:r>
      <w:r>
        <w:rPr>
          <w:rFonts w:hint="eastAsia" w:ascii="宋体" w:hAnsi="宋体" w:cs="宋体"/>
          <w:color w:val="auto"/>
          <w:szCs w:val="21"/>
          <w:highlight w:val="none"/>
        </w:rPr>
        <w:t xml:space="preserve">、指标要求</w:t>
      </w:r>
      <w:r>
        <w:rPr>
          <w:rFonts w:hint="eastAsia" w:ascii="宋体" w:hAnsi="宋体"/>
          <w:color w:val="auto"/>
          <w:szCs w:val="21"/>
          <w:highlight w:val="none"/>
        </w:rPr>
        <w:t xml:space="preserve">：</w:t>
      </w:r>
      <w:r/>
    </w:p>
    <w:tbl>
      <w:tblPr>
        <w:tblStyle w:val="955"/>
        <w:tblW w:w="10236"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666"/>
        <w:gridCol w:w="915"/>
        <w:gridCol w:w="7575"/>
        <w:gridCol w:w="540"/>
        <w:gridCol w:w="540"/>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rPr>
              <w:t xml:space="preserve">详细技术参数、指标要求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工控安全场景展示沙盘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典型智能制造场景沙盘包括出库、拾取、输送、加工、检测、入库和基础环境等，针对出库、拾取、输送、加工、检测、入库工艺流程各设置1个动态场景，所有的动态控制点均由PLC控制；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2、典型智能制造场景沙盘占地面积不小于约2米×1.5米，提供标准的外部IO接口，可接受外部控制系统的控制；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3、典型智能制造场景沙盘采用PLC控制，与配套的L型展架进行联动，实现对应模型组件的动作执行展示；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4、典型智能制造场景沙盘可攻击演示机械手臂、输送带、AGV小车等联动设备；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5、典型智能制造场景沙盘支持与工控安全控制系统、工控安全数字孪生平台联动；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机械臂通过PLC编程控制，并且可在到达位置后打开气泵进行吸附产品和关闭气泵放置产品。机械臂可准确放置原料库AGV小车货物上方，并进行吸取，机械臂吸取后可准确行进至传送带上方，并结合传送带到达的具体位置进行放置货物；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原料库取货架，货架可准确在立体仓储库某个点位进行取货，平移采用滑块链条结构进行平移作业，取货采用电机旋转齿轮结构进行推进作业。作业流程全部采用PLC编程电机运转控制；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★8、原料库AGV小车通过滑块链条结构进行结构平移行进，AGV小车底部安装磁吸结构并配置万向轮在沙盘上运转，可准确行进距离，通过PLC编程控制链条</w:t>
            </w:r>
            <w:r>
              <w:rPr>
                <w:rFonts w:hint="eastAsia" w:ascii="宋体" w:hAnsi="宋体" w:eastAsia="宋体" w:cs="宋体"/>
                <w:i w:val="0"/>
                <w:color w:val="auto"/>
                <w:sz w:val="18"/>
                <w:szCs w:val="18"/>
                <w:highlight w:val="none"/>
                <w:u w:val="none"/>
                <w:lang w:val="en-US" w:eastAsia="zh-CN" w:bidi="ar"/>
              </w:rPr>
              <w:t xml:space="preserve">结构</w:t>
            </w:r>
            <w:r/>
            <w:r>
              <w:rPr>
                <w:rFonts w:hint="eastAsia" w:ascii="宋体" w:hAnsi="宋体" w:eastAsia="宋体" w:cs="宋体"/>
                <w:i w:val="0"/>
                <w:color w:val="auto"/>
                <w:sz w:val="18"/>
                <w:szCs w:val="18"/>
                <w:highlight w:val="none"/>
                <w:u w:val="none"/>
                <w:lang w:val="en-US" w:eastAsia="zh-CN" w:bidi="ar"/>
              </w:rPr>
              <w:t xml:space="preserve">滑行距离，从而可准确控制AGV小车的运输点位。前进与后退通过PLC控制电机的正反转来实现；需提供截图或者提供图片证明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★9、激光雕刻设备可通过PLC控制电路来控制设备的运转与停止。安装红外感应装置，当需要雕刻时可通过红外设备传输给PLC信号；需提供截图或者提供图片证明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★10、传送带传送带表面为卡扣装置，内部安装步进电机，电机可控制正反转从而控制设备传送带的抖动效果，通过PLC控制电机行程，从而与各个设备机械臂之间的流程运作；需提供截图或者提供图片证明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11、摄像头为微型摄像头；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★12、成品库AGV小车小车通过滑块链条结构进行结构平移行进，AGV小车小车底部安装磁吸结构并配置万向轮在沙盘上运转，可准确行进距离，通过PLC编程控制链条</w:t>
            </w:r>
            <w:r>
              <w:rPr>
                <w:rFonts w:hint="eastAsia" w:ascii="宋体" w:hAnsi="宋体" w:eastAsia="宋体" w:cs="宋体"/>
                <w:i w:val="0"/>
                <w:color w:val="auto"/>
                <w:sz w:val="18"/>
                <w:szCs w:val="18"/>
                <w:highlight w:val="none"/>
                <w:u w:val="none"/>
                <w:lang w:val="en-US" w:eastAsia="zh-CN" w:bidi="ar"/>
              </w:rPr>
              <w:t xml:space="preserve">结构</w:t>
            </w:r>
            <w:r/>
            <w:r>
              <w:rPr>
                <w:rFonts w:hint="eastAsia" w:ascii="宋体" w:hAnsi="宋体" w:eastAsia="宋体" w:cs="宋体"/>
                <w:i w:val="0"/>
                <w:color w:val="auto"/>
                <w:sz w:val="18"/>
                <w:szCs w:val="18"/>
                <w:highlight w:val="none"/>
                <w:u w:val="none"/>
                <w:lang w:val="en-US" w:eastAsia="zh-CN" w:bidi="ar"/>
              </w:rPr>
              <w:t xml:space="preserve">滑行距离，从而可准确控制AGV小车的运输点位。前进与后退通过PLC控制电机的正反转来实现；需提供截图或者提供图片证明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台</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工控安全控制系统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①规格：尺寸约为 H2100mm（含 100mm 轮子）× W1000mm × D600mm。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②材质：优质冷轧钢板，表面静电粉末喷涂处理，坚固耐用。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③功能：内部安装 PLC 模块、电源模块等。展板开孔用于安装触摸屏、指示灯、按钮等人机交互元件，作为系统的中央控制节点。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④出于移动方便考虑，展柜底部安装 4 个万向轮；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⑤考虑维护方便，L 型可移动展柜与沙盘的控制线缆通过多芯对插接头连接。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★⑥设备间网络路径用灯带指示，绿色 LED+红色 LED，正常绿色灯光、异常状态可变成红色灯光，需提供截图或者提供图片证明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★7.展架上设备布局大致分为 3 层。分别为现场设备层、现场控制层、过程监控层；现场设备层:现场设备层配置微型模型、主令电器设备有本地/远程选择开关、启动停止按钮、消音开关、急停按钮；指示类电气设备有运行停止指示灯、故障指示灯；报警类设备有蜂鸣器、声光报警灯。 现场控制层 ：现场控制层为 PLC、工业触摸屏、交换机等 .过程监控层 ：配置轻量级 MES 系统电脑主机，需提供截图或者提供图片证明。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⑧PLC：CPU 本体集成以太网接口，支持 TCP、UDP、Modbus TCP 等多种工业以太网通信协议。集成的 Micro SD 卡插槽，可实现程序更新、恢复出厂设置、固件升级等功能。集成高速脉冲输出，频率 100 KHz，支持 PWM/PTO 输出方式，支持直线插补，配备超级电容，供电断电情况下，依然能保证时钟正常工作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⑨工业触摸屏：安装在 L 型展架上，不低于10" TFT，显示颜色260K,1024x600 分辨率，显示亮度 280cd/㎡，四线电阻式触摸，搭载 Cortex 4 核处理器，1G 主频分核运行，内存 512M，内置 4GB 高存储芯片和硬件时钟，采用全新铸铝前面板，画屏幕显示支持横竖旋转设定，符合国家认证标准，IP65(前面板)防护等级，工业三级电磁兼容；集成人机交互监控系统。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⑩微型处理终端含显示设备：安装在 L 型展架上，配备 i5 处理器，内存容量 8GB，硬盘容量 128 的主机和不低于20英寸的高清显示器。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工控安全数字孪生平台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1.平台定位：用于与PLC、沙盘系统实时对接，支持数字孪生模型与物理沙盘的协同运行，实现“虚实互动、以虚控实”，并作为攻防演练的可视化展示与操控核心。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★2.建模与仿真：基于Unity3D或Unreal Engine开发，完成对沙盘场景（仓储、传送带、机械臂、雕刻机、AGV等）的三维建模；模型支持物理运动仿真（如机械臂抓取、传送带运动、AGV路径运行）；支持动态攻击效果（如设备抖动、报警灯闪烁、传送带异常抖动、烟雾/火光特效）。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★3.数据实时对接能力：支持通过OPC、Modbus TCP等工业协议与西门子S7-200 SMARTPLC实时通信；数据刷新频率 ≤ 1s，保证虚实状态同步；支持双向数据交互：虚拟模型可接收PLC状态数据，也可发送控制指令回写PLC（以虚控实）。需提供截图或者提供图片证明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攻防联动能力：内置攻击指令映射机制，可将攻击演示平台发起的攻击行为（如拒绝服务、指令篡改、U盘摆渡等）实时映射至虚拟模型中；攻击触发后，数字孪生模型同步展示异常行为（如机械臂停止、传送带失速、AGV偏离路径、雕刻机无响应）；支持与安全防护系统联动，展示防护生效后的模型恢复过程（如攻击阻断、设备恢复正常运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虚实映射与镜像控制：支持“虚实镜像”模式：物理沙盘状态实时同步至虚拟模型，反向亦可通过虚拟界面控制物理沙盘动作；支持多视角观察（全局视角、设备特写视角、攻击路径追踪视角）；需提供截图或者提供图片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6.硬件配置要求：高性能图形工作站：CPU i5及以上，内存 ≥ 16GB，显卡 NVIDIA RTX 4060 及以上；</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显示器：支持多屏显示或大屏展示（≥27英寸）；</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系统支持 Windows 10/11 专业版，兼容主流工业通信接口。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系统接口与开发测试平台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default"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bidi="ar"/>
              </w:rPr>
              <w:t xml:space="preserve">1.统一数据接口服务：提供标准化的数据交换中间件，支持沙盘PLC、数字孪生平台、攻击演示平台之间的双向数据通信，兼容OPC DA/UA、Modbus TCP、MQTT等工业标准协议。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2.协议适配与转换能力：支持对西门子S7系列、Modbus RTU/TCP、Profinet等工控协议的解析与封装，便于异构系统互联。</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3.API开发接口：支持二次开发及第三方系统（如教学平台、MES、态势感知系统）对接，接口文档完整.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★4.调试与诊断工具：提供PLC及上位机的组态安装包，支持实时查看PLC与各平台之间的通信数据流，便于故障定位与教学演示。（需要提供组态安装包及PLC与上位机程序源码）。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入侵攻击模拟演示平台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 提供典型攻击手段：拒绝服务攻击、指令攻击、数据篡改、U盘摆渡攻击、非法接入攻击、中间人篡改攻击；（要求攻击平台具备虚拟化能力，需要提供虚拟机以备现场演示攻击过程）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攻击效果通过沙盘声光电变化展示（如报警灯闪烁、设备抖动、停运等）；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硬件配置：不低于27英寸触摸一体终端设备+立式操控台；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攻击界面可视化，展示攻击前后状态对比。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安全防护应急响应系统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1.防火墙系统，导轨式，不低于4个千兆以太网接口。功能：支持工控协议深度包检测，可针对Modbus、S7等协议设置白名单规则，阻断异常指令及未授权访问。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2.网络审计系统，导轨式，不低于4个千兆以太网接口。内置工控攻击行为检测引擎，可识别拒绝服务、指令篡改、中间人、U盘摆渡等典型攻击行为，并实时触发声光告警及日志记录。</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3.联动防护机制：可与数字孪生平台及攻击演示平台联动，当检测到攻击时，自动触发孪生系统中的防护效果展示（如攻击阻断、设备恢复、灯光恢复绿色等）。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★4.应急演练模式：支持预设攻击场景，模拟真实安全事件处置流程，配合攻击平台完成应急响应防护功能。（需提供防火墙完成攻击防护的截图证明）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工控安全教学课程平台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 提供不少于15个知识库模块，总课程数不少于100个；（需提供课程列表）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内容涵盖：工业互联网安全基础、工控系统架构与通信协议、常见漏洞与攻击手段、安全监测、日志审计、防火墙应用、入侵检测、风险评估、应急响应、安全管理标准、安全意识培训、攻防实战等；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提供电子课件、实验课件、考试题库；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新一代数字化网络实训靶场平台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一、硬件配置及性能指标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1、多核（≥24核）架构，内存≥128G，千兆电口≥2个，采用“系统+数据”双硬盘架构；</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2、数据硬盘容量配置不低于1T，系统硬盘SSD不低于500G，双电源；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3、单台平台虚拟环境并发数量≥20个，单台虚拟环境的启动速度小于20秒；</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二、靶场平台管理要求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1、系统采用B/S架构，支持虚拟化管理，支持集群管理。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2、普通用户可在线注册，并支持用户自己修改用户信息；管理员和教师能够对账户进行批量操作，包括导入、导出、审核、新增等；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3、为每个学员提供单独的真实网络环境，即每个学员的网络、实验资源是完全独享的，为每个用户提供一个真实的环境进行实验。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支持对实验场景进行新增、删除、修改等操作；可以进行磁盘镜像和光盘镜像管理，对每个服务器的状态进行控制和编辑，对光盘镜像文件启动进行设置。至少提供16种以上的虚拟化主机系统，至少包括Windows2008、Windows11、CentOS、Redhat、KALI、Oracle Solaris、SUSE、Debian、Ubuntu、DeepOfix、麒麟等操作系统，并且用户可自定义。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5、支持场景、靶机、实训内容的新建和编辑，管理员可以根据自己的要求进行场景、靶机等内容的建设；</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6、提供虚拟机使用状态情况，能够看到各个节点资源使用情况，可以远程监控任何一台虚拟机的操作过程；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三、靶场模式要求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1、支持单兵挑战竞赛模式，学员以闯关的方式进行攻击，每一关均有一个靶场，学员可以选择任意关卡进行挑战；</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2、支持红蓝对抗竞赛模式，在网络靶场中进行对抗，红队对蓝队的靶机进行攻击，蓝队监测红队的攻击并进行防御；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支持“综合靶场+高地混战”竞赛模式，三层网络靶场+高地可以一键部署，支持上百支队伍同时比赛，后台自动生成队伍数量*3的VLAN数量，每支队伍的网络环境都是独享的并且IP地址、VLAN都是不同的。请提供“综合靶场+高地混战”靶机模板和一键部署截图；</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支持网络混战竞赛模式，平台通过集群可以支持上百支队伍同时比赛，每组独立拥有1-5台漏洞靶机，参赛队伍在比赛中可以加固自己的漏洞主机得分，也可以攻击其他队伍的漏洞靶机进行得分。请提供每支队伍5台漏洞靶机截图；</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四、其他要求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1、支持用户对平台进行个性化定制；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个</w:t>
            </w:r>
            <w:r/>
          </w:p>
        </w:tc>
      </w:tr>
    </w:tbl>
    <w:p>
      <w:pPr>
        <w:jc w:val="center"/>
        <w:spacing w:line="400" w:lineRule="exact"/>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0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二标段</w:t>
      </w:r>
      <w:r>
        <w:rPr>
          <w:rFonts w:hint="eastAsia" w:ascii="宋体" w:hAnsi="宋体" w:cs="宋体"/>
          <w:b/>
          <w:bCs/>
          <w:color w:val="auto"/>
          <w:szCs w:val="21"/>
          <w:highlight w:val="none"/>
          <w:lang w:eastAsia="zh-CN"/>
        </w:rPr>
        <w:t xml:space="preserve">：智能管理实训设备</w:t>
      </w:r>
      <w:r/>
    </w:p>
    <w:p>
      <w:pPr>
        <w:numPr>
          <w:ilvl w:val="0"/>
          <w:numId w:val="9"/>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采购清单：</w:t>
      </w:r>
      <w:r/>
    </w:p>
    <w:tbl>
      <w:tblPr>
        <w:tblStyle w:val="955"/>
        <w:tblW w:w="10329"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917"/>
        <w:gridCol w:w="750"/>
        <w:gridCol w:w="780"/>
        <w:gridCol w:w="2100"/>
      </w:tblGrid>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91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75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21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单价最高限价（元）</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91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嵌入式功能电路开发板套件</w:t>
            </w:r>
            <w:r/>
          </w:p>
        </w:tc>
        <w:tc>
          <w:tcPr>
            <w:shd w:val="clear" w:color="auto" w:fill="auto"/>
            <w:tcW w:w="75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套</w:t>
            </w:r>
            <w:r/>
          </w:p>
        </w:tc>
        <w:tc>
          <w:tcPr>
            <w:shd w:val="clear" w:color="auto" w:fill="auto"/>
            <w:tcW w:w="210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8800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91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嵌入式实时系统综合实验箱</w:t>
            </w:r>
            <w:r/>
          </w:p>
        </w:tc>
        <w:tc>
          <w:tcPr>
            <w:shd w:val="clear" w:color="auto" w:fill="auto"/>
            <w:tcW w:w="750"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210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19000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91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无人机综合实训设备</w:t>
            </w:r>
            <w:r/>
          </w:p>
        </w:tc>
        <w:tc>
          <w:tcPr>
            <w:shd w:val="clear" w:color="auto" w:fill="auto"/>
            <w:tcW w:w="75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210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200000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91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行业级无人机</w:t>
            </w:r>
            <w:r/>
          </w:p>
        </w:tc>
        <w:tc>
          <w:tcPr>
            <w:shd w:val="clear" w:color="auto" w:fill="auto"/>
            <w:tcW w:w="75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台</w:t>
            </w:r>
            <w:r/>
          </w:p>
        </w:tc>
        <w:tc>
          <w:tcPr>
            <w:shd w:val="clear" w:color="auto" w:fill="auto"/>
            <w:tcW w:w="210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25000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shd w:val="clear" w:color="auto" w:fill="auto"/>
            <w:tcW w:w="591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电子技术基础实训设备</w:t>
            </w:r>
            <w:r/>
          </w:p>
        </w:tc>
        <w:tc>
          <w:tcPr>
            <w:shd w:val="clear" w:color="auto" w:fill="auto"/>
            <w:tcW w:w="750"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台</w:t>
            </w:r>
            <w:r/>
          </w:p>
        </w:tc>
        <w:tc>
          <w:tcPr>
            <w:shd w:val="clear" w:color="auto" w:fill="auto"/>
            <w:tcW w:w="210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8000</w:t>
            </w:r>
            <w:r/>
          </w:p>
        </w:tc>
      </w:tr>
    </w:tbl>
    <w:p>
      <w:pPr>
        <w:numPr>
          <w:ilvl w:val="0"/>
          <w:numId w:val="9"/>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详细</w:t>
      </w:r>
      <w:r>
        <w:rPr>
          <w:rFonts w:hint="eastAsia" w:ascii="宋体" w:hAnsi="宋体" w:cs="宋体"/>
          <w:color w:val="auto"/>
          <w:szCs w:val="21"/>
          <w:highlight w:val="none"/>
        </w:rPr>
        <w:t xml:space="preserve">技术</w:t>
      </w:r>
      <w:r>
        <w:rPr>
          <w:rFonts w:hint="eastAsia" w:ascii="宋体" w:hAnsi="宋体"/>
          <w:color w:val="auto"/>
          <w:szCs w:val="21"/>
          <w:highlight w:val="none"/>
        </w:rPr>
        <w:t xml:space="preserve">参数</w:t>
      </w:r>
      <w:r>
        <w:rPr>
          <w:rFonts w:hint="eastAsia" w:ascii="宋体" w:hAnsi="宋体" w:cs="宋体"/>
          <w:color w:val="auto"/>
          <w:szCs w:val="21"/>
          <w:highlight w:val="none"/>
        </w:rPr>
        <w:t xml:space="preserve">、指标要求</w:t>
      </w:r>
      <w:r>
        <w:rPr>
          <w:rFonts w:hint="eastAsia" w:ascii="宋体" w:hAnsi="宋体"/>
          <w:color w:val="auto"/>
          <w:szCs w:val="21"/>
          <w:highlight w:val="none"/>
        </w:rPr>
        <w:t xml:space="preserve">：</w:t>
      </w:r>
      <w:r/>
    </w:p>
    <w:tbl>
      <w:tblPr>
        <w:tblStyle w:val="955"/>
        <w:tblW w:w="1031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667"/>
        <w:gridCol w:w="915"/>
        <w:gridCol w:w="7575"/>
        <w:gridCol w:w="555"/>
        <w:gridCol w:w="600"/>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rPr>
              <w:t xml:space="preserve">详细技术参数、指标要求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嵌入式功能电路开发板套件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符合江苏省2026年职业院校技能大赛高职组嵌入式系统应用开发赛项技术要求，套件包含采用国产自主芯片（RISC-V）作为核心处理单元的可编程嵌入式功能电路核心处理单元、嵌入式电子电路焊接综合实训单元、智能语音交互处理系统及配套的标准电路原</w:t>
            </w:r>
            <w:r>
              <w:rPr>
                <w:rFonts w:hint="eastAsia" w:ascii="宋体" w:hAnsi="宋体" w:eastAsia="宋体" w:cs="宋体"/>
                <w:i w:val="0"/>
                <w:color w:val="auto"/>
                <w:sz w:val="18"/>
                <w:szCs w:val="18"/>
                <w:highlight w:val="none"/>
                <w:u w:val="none"/>
                <w:lang w:val="en-US" w:eastAsia="zh-CN" w:bidi="ar"/>
              </w:rPr>
              <w:t xml:space="preserve">理图、电子元器件清单等，学生能够基于此套件完成电子元器件识别、电子元器件检测、电子电路焊接、电路分析、调试与测试及软件程序设计与驱动开发的训练，提高学生的焊接装配工艺，锻炼学生对模拟电路、数字电路技术的应用和对电路调试、测试的实践技能，训练学生的嵌入式系统程序设计及驱动开发能力。套件包含标准化可编程嵌入式功能电路核心处理套件（1套），能够完成嵌入式系统应用程序的开发和设计；嵌入式开发功能板焊接实训单元（1套），提高学生的实操、动手能力；扩展实训应用单元（1套），提高学生对传感器、执行器的认知及驱动开发能力。</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（1）处理器：RISC-V国产自主；</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（2）I/O接口：USB2.0/1.1、GMAC、I2C、CAN、SPI、NAND、UART、RTC、PWM、GPIO；</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（3）提供1路DC-044A宽电压供电接口，支持输入电压DC5-12V；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（4）提供1路智能语音模块安装接口；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（5）提供1路FPC-40P液晶屏接口；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（6）提供扩展模块接口，不少于5个，支持IIC、SPI和UART通信，包含PWM、ADC采集和数字I/O接口；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（7）不低于4英寸（IPS）LCD显示屏；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（8）支持智能语音交互处理系统；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（9）支持扩展实训应用单元。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嵌入式实时系统综合实验箱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（1）主MCU：ARM Cortex-M4内核处理器，最高主频不低于180MHz，支持国产嵌入式实时系统RT-Thread开发；</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（2）从MCU：Xtensa 32位LX7双核处理器，</w:t>
            </w:r>
            <w:r>
              <w:rPr>
                <w:rFonts w:hint="eastAsia" w:ascii="宋体" w:hAnsi="宋体" w:cs="宋体"/>
                <w:i w:val="0"/>
                <w:color w:val="auto"/>
                <w:sz w:val="18"/>
                <w:szCs w:val="18"/>
                <w:highlight w:val="none"/>
                <w:u w:val="none"/>
                <w:lang w:val="en-US" w:eastAsia="zh-CN" w:bidi="ar"/>
              </w:rPr>
              <w:t xml:space="preserve">最高主频不低于240MHz</w:t>
            </w:r>
            <w:r>
              <w:rPr>
                <w:rFonts w:hint="eastAsia" w:ascii="宋体" w:hAnsi="宋体" w:eastAsia="宋体" w:cs="宋体"/>
                <w:i w:val="0"/>
                <w:color w:val="auto"/>
                <w:sz w:val="18"/>
                <w:szCs w:val="18"/>
                <w:highlight w:val="none"/>
                <w:u w:val="none"/>
                <w:lang w:val="en-US" w:eastAsia="zh-CN" w:bidi="ar"/>
              </w:rPr>
              <w:t xml:space="preserve">，支持嵌入式实时系统FreeRTOS开发；</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（3）主从MCU间通过USART或I2C数据通信；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（4）主MCU板载32MB的SDRAM；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（5）主MCU板载512MB的Nand Flash；</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（6）LCD显示模块：主MCU支持不低于7寸触摸LCD液晶，分辨率480*800；从MCU支持不低于2.8寸TFT显示屏，分辨率240*320；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（7）支持USB通信接口；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（8）支持RS485通信接口；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（9）支持DP83848百兆以太网接口；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（10）支持ES8388+MD8002A音频接口；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（11）支持IRM-56384红外收发传感器；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（12）支持AP3216C环境光传感器；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（13）支持DHT11温湿度传感器；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（14）支持HC-SR04超声波传感器；                                                                                                                                   </w:t>
            </w:r>
            <w:r>
              <w:rPr>
                <w:rFonts w:hint="eastAsia" w:ascii="宋体" w:hAnsi="宋体" w:eastAsia="宋体" w:cs="宋体"/>
                <w:i w:val="0"/>
                <w:color w:val="auto"/>
                <w:sz w:val="18"/>
                <w:szCs w:val="18"/>
                <w:highlight w:val="none"/>
                <w:u w:val="none"/>
                <w:lang w:val="en-US" w:eastAsia="zh-CN" w:bidi="ar"/>
              </w:rPr>
              <w:t xml:space="preserve">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（15）支持板载TF卡模块；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（16）支持蓝牙数据通信接口；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（17）支持WIFI数据通信接口；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（18）支持DC12V~24V直流供电电源；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（19）主MCU支持板载ST-LINK在线烧录、调试，从MCU支持板载ISP在线烧录，无需外接烧写工具；</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（20）主从MCU均需支持打印调试接口；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（21）支持4位8段数码管驱动显示；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（22）支持WS2812B串行真彩色LED驱动显示；支持RGB LED驱动显示；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（23）支持4*4键盘矩阵输入；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（24）支持RFID读写卡功能。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无人机综合实训设备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一、自动驾驶无人机开发平台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1、支持飞行模式：自稳（姿态）、定高、室内导航、自主避障、室内悬停飞行模式；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2、最长飞行时间：≥10min；</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3、最大飞行速度：≥15 m/s；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4、最远遥控距离：≥100 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6、最大上升速度：≥5 m/s；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7、最大下降速度：≥4 m/s；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8、板卡性能: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AI算力：≥100 TOPS；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GPU：搭载 32 个 Tensor Core 的 1024 核 NVIDIA Ampere 架构 GPU，最大频率918 MHz；</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CPU：8 核 Arm® Cortex®-A78AE v8.2 64 位 CPU2MB L2 + 4MB L3；</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内存：16GB 128 位 LPDDR5；</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9、机架：机身采用四旋翼X型结构，对角轴距≤310mm；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10、飞控：STM32系列主控芯片，集成三轴加速度计、陀螺仪、气压计；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11、预装了融合了VINS_Fusion VIO以及Fast_LIO LIO算法的自定位系统，可以满足室内无人机定位需求；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12、提供了EGO-Planner避障算法，可以提供视觉避障功能；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13、搭载多类型传感器，为无人机提供了相对定位，环境感知和动态规划功能。飞行平台搭载了双目视觉(stereo camera)传感器，惯性导航模块(IMU)，激光雷达传感器三个部分。为无人机的室内定位和避障提供了开源的计算平台和例程（例程1：SLAM自主路径规划穿越间距1.2米以内的柱子及圆框识别，并自主穿越后实现自主降落；例程2：依靠激光雷达定位，SLAM自主路径穿越间距1.2米以内的柱子以及识别方框，并自主穿越2个方框后实现自主降落</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二、智能平衡充电器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1.外形尺寸：≥120mm*115*75mm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2.重量：≥780g</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3.输入电压：AC 100-240 V. DC 9.0-30.0 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4.输出电压：0.1-30.0V；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5.最大充电电流：16.0 A×2；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6.放电电流：CHL:0.1-3.0 A/0.1-15.0 A （外部放电模式下）；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CH2: 0.1-3.0 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7.最大充电功率：AC ≤2x200 W （ 支持功率分配）/ DC ≤2x300 W；</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8.手机无线充电：≥10 W；</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9.最大放电功率：CH1:8W /200W（外部放电模式下）；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CH2: 8W；</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8.平衡电流：Max 1000 mA/cell；</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9.支持电池类型：LiPo / LIHV / LiFe / Lilon (1-6S)；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NiMH / NiCd (1-16S)；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Lead Acid 2V-24V (1-12S)；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10.显示器类型：≥3.5″ 480*320 LCD；</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三、激光无人机开发平台备件库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1.桨罩：≥2套；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2.三叶桨 8040：≥4对；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3.起落架：≥1套（4根）；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4.雷达保护罩：≥1套；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5.螺丝：≥1包；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6.减震球：≥8个；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7.魔术扎带：≥2根；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8.绑扎带：≥1包；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9.螺纹胶：≥1瓶；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10.包装箱：≥1个；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四、激光无人车开发平台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1.尺寸：长×宽×高（mm）≤415×370×200mm；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2.轴距：≤260mm；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3.轮距：≤304mm；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4.额定载重：≥5Kg；</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5.轮系：四轮轮毂电机；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6.悬挂：垂直独立减震悬挂；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7.最小离地间隙：≥70mm；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8.默认速度：≥1.5m/s；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9.续航时间（空载）:≥3小时；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10.板卡性能: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AI算力 ≥70 TOPS；；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GPU 搭载 1024 个 NVIDIA® CUDA® 核心和 32 个 Tensor Core；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GPU频率：765MHz；；</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CPU 6 核 Arm® Cortex®-A78AE v8.2 64 位 CPU 1.5MB L2 + 4MB L3；</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内存 8GB 128 位 LPDDR5 102.4 GB/s；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WIFI：集成wifi；</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11.激光传感器：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重量：≤190g;</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测量半径：白色物体：0.05~18m （90%反射率），黑色物体：0.05~8m;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采样频率：≥32kHz；</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扫描频率：≥10Hz；</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角度分辨率：≤0.12°；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测距分辨率：≤3cm   ；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12.前视单目相机：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像素：≥200万；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视场角：≥125°；</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五、扩展套装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1.USB HUB；</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2.micro HDMI线；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3.HDMI线；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4.typeC USB线;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5.转接头；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6.45合一改锥套装；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7.SD卡读卡器；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8.BB响（电压检测器）；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9.工具袋；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六、无线路由器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1.Wan口数量：≥1个；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2.无线速率 ：≥2.4G:574Mbps、≥5G:4804Mbps；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3.LAN口数量：≥4个；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4.无线协议：Wi-Fi7；</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七、四足机器人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1、性能参数：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最大速度：3.5m/s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额定负载：5kg</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连续攀爬楼梯高度：16cm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最大爬坡角度：标准环境30°，极限可达40°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跳跃离地高度：35cm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2、整机关节参数：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最大关节扭矩：48N·m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关节运动空间（机身）：-28°~28°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关节运动空间（大腿）：-170°~66°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关节运动空间（小腿）：35°~156°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3、传感器：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IMU：标配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相机FOV：一个相机，分辨率1920x1080p，视场角DFOV122°, HFOV111°, VFOV70°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4、功能列表：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标准动作：站立、卧倒、爬起、俯身向身、水平转身；向前跳、向上跳、后空翻、 双腿站立、打招呼。</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实时图像传输：支持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二次开发：Edu版本支持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功能拓展接口：以太网口*1、USB接口*2、电源接口*2、SBUS接口*1、UART接口*1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八、系统培训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1、硬件设备使用培训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2、操作软件使用培训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3、系统联调操作培训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4、日常保养维修培训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九、无人智能视觉导航控制技术课程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（1）PPT课件资源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①数量：≥8个。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内容要求：至少包含飞机双目相机标定实验、飞机单目相机目标位置解算实验、飞机基于视觉控制的穿环实验、飞机基于视觉SLAM定位实验、飞机基于激光SLAM定位实验、飞机基于搜索算法路径规划实验、飞机的算法综合运用实验1、飞机的算法综合运用实验2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视频教学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①数量：≥8个。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内容要求：至少包含飞机双目相机标定实验、飞机单目相机目标位置解算实验、飞机基于视觉控制的穿环实验、飞机基于视觉SLAM定位实验、飞机基于激光SLAM定位实验、飞机基于搜索算法路径规划实验、飞机的算法综合运用实验1、飞机的算法综合运用实验2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（2）实验指导书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①数量要求：≥8个。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内容要求：至少包含飞机双目相机标定实验、飞机单目相机目标位置解算实验、飞机基于视觉控制的穿环实验、飞机基于视觉SLAM定位实验、飞机基于激光SLAM定位实验、飞机基于搜索算法路径规划实验、飞机的算法综合运用实验1、飞机的算法综合运用实验2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课程质量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1）PPT课件资源：至少包含实验背景、实验目的和实验原理等内容，PPT课件总页数≥80页。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2）视频教学：包含实验操作的完整教学内容，视频分辨率不低于1920*1080，视频总时长≥80分钟。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实验指导书：至少包含实验背景、实验目的、实验环境、实验步骤及常见问题等内容，实验指导书总页数≥80页。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行业级无人机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飞行器起飞重量≥1050克，最大起飞重量≥1250克/机载影像传感器：高端相机(像素1亿);中长焦相机(像素4800万)；长焦相机（像素5000万）/三轴机械云台（俯仰、横滚、偏航）/电池容量不低于6600毫安时/带充电管家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视频格式与码率‌：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视频格式：MP4（MPEG-4 AVC/H.264，HEVC/H.265）</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视频最大码率：H.264/H.265 码率：150Mbps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三轴机械云台（俯仰、横滚、偏航）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结构设计范围：俯仰-135°至80°，横滚-135°至45°，偏航-30°至30°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可控转动范围：俯仰-90°至60°，横滚-90°或0°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最大控制转速（俯仰）：100°/s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角度抖动量：±0.01°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‌感知系统‌：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全向双目视觉系统，辅以机身底部三维红外传感器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前视测距范围：0.5-18m，可探测范围：0.5-200m，有效避障速度：飞行速度≤12m/s，视角（FOV）：水平90°，垂直72°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后视测距范围：0.5-15m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台</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电子技术基础实训设备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5" w:type="dxa"/>
            <w:vAlign w:val="center"/>
            <w:textDirection w:val="lrTb"/>
            <w:noWrap w:val="false"/>
          </w:tcPr>
          <w:p>
            <w:pPr>
              <w:jc w:val="left"/>
              <w:keepLines w:val="0"/>
              <w:keepNext w:val="0"/>
              <w:pageBreakBefore w:val="0"/>
              <w:spacing w:afterAutospacing="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一、数字电路实验模块技术参数：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（一）系统要求：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1、可完成基础数电实验和综合创新实验，满足各学校对“数字电路”、“数字电子技术”、“数字逻辑设计”及“数字系统设计”等课程实验教学。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2、可在实验箱上任意拼插元件或者使用主板备用器件组成所需要的实验电路，并配有长度不等的插线，实验方便、快捷、元器件损坏易于更换。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3、集成多种辅助测量分析仪器，无需额外再配置其他实验仪器，降低了实验室投入，简化了实验室管理。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实验箱还能结合Proteus仿真软件平台，用仿真的方法进行所有实验的仿真预习，并在实际的硬件平台上验证仿真结果。学生既可以通过该实验系统的仿真，了解相应实验的技术细节，又可以通过实际硬件电路的运行结果，建立对实验的感性认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cs="宋体"/>
                <w:i w:val="0"/>
                <w:color w:val="auto"/>
                <w:sz w:val="18"/>
                <w:szCs w:val="18"/>
                <w:highlight w:val="none"/>
                <w:u w:val="none"/>
                <w:lang w:val="en-US" w:eastAsia="zh-CN" w:bidi="ar"/>
              </w:rPr>
              <w:t xml:space="preserve">二</w:t>
            </w:r>
            <w:r>
              <w:rPr>
                <w:rFonts w:hint="eastAsia" w:ascii="宋体" w:hAnsi="宋体" w:eastAsia="宋体" w:cs="宋体"/>
                <w:i w:val="0"/>
                <w:color w:val="auto"/>
                <w:sz w:val="18"/>
                <w:szCs w:val="18"/>
                <w:highlight w:val="none"/>
                <w:u w:val="none"/>
                <w:lang w:val="en-US" w:eastAsia="zh-CN" w:bidi="ar"/>
              </w:rPr>
              <w:t xml:space="preserve">）系统特点：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1.多种辅助测量分析仪器，如:码型发生器、数字逻辑分析仪，电压表、IC逻辑测试仪等，让管理、使用更加便利。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2.镀金插孔、灯笼式接头，使接触更可靠，寿命更长。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3.所有实验项目都配备有Proteus仿真实验工程。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4.完整的使用说明书和实验例程，学习更加事半功倍。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5.备有接口转换区和功能扩展区，可支持数模电典型电路模块扩展。</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可拓展AI赋能电子设计全流程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6.1 AI辅助原理图设计：智能推荐元件、自动计算参数、检查电气连接合理性、优化布局；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6.2 AI辅助电路仿真：自动分析波形、提取关键参数、解释信号现象、给出优化建议；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6.3 AI辅助嵌入式开发：自动生成外设驱动代码、代码注释、逻辑优化、错误检查；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6.4 AI辅助PCB设计：智能检查布线规则、丝印防印、阻焊开口、差分对等高速设计规则；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6.5 AI辅助教学与评价：自动记录操作过程、诊断薄弱点、生成学习建议、辅助过程性评价。</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cs="宋体"/>
                <w:i w:val="0"/>
                <w:color w:val="auto"/>
                <w:sz w:val="18"/>
                <w:szCs w:val="18"/>
                <w:highlight w:val="none"/>
                <w:u w:val="none"/>
                <w:lang w:val="en-US" w:eastAsia="zh-CN" w:bidi="ar"/>
              </w:rPr>
              <w:t xml:space="preserve">三</w:t>
            </w:r>
            <w:r>
              <w:rPr>
                <w:rFonts w:hint="eastAsia" w:ascii="宋体" w:hAnsi="宋体" w:eastAsia="宋体" w:cs="宋体"/>
                <w:i w:val="0"/>
                <w:color w:val="auto"/>
                <w:sz w:val="18"/>
                <w:szCs w:val="18"/>
                <w:highlight w:val="none"/>
                <w:u w:val="none"/>
                <w:lang w:val="en-US" w:eastAsia="zh-CN" w:bidi="ar"/>
              </w:rPr>
              <w:t xml:space="preserve">）技术参数及指标：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箱体:铝合金箱:480mm ×345mm×132mm,配有高精度、高稳定性开关电源。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电源:输入:AC220V±10%;输出:DC +5V/1A，+12V/0.5A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可调直流信号源:0一+0.5V和0一+5V两档可调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固定连续脉冲源:1Hz，10Hz，100Hz ,1KHz ，10KHz ，100KHz，1MHz ，7路输出。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可调连续脉冲源:100Hz一5和5K一100KHz两挡可调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单脉冲电路:两组单脉冲电路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逻辑电平输出开关:12路输出端自带显示电路,直观显示开关量的输出状态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七段数码管显示:4位BCD译码共阴数码管,2位七段共阴数码管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逻辑电平输入显示:12路逻辑输入电平显示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IC座拓展板:8脚*2、14脚*6、16脚6、20脚+2，电阻,电容若干。</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集成电路紧锁座区及部分元件:8脚*1、14脚*6、16 脚*2、20脚*2、蜂呜器及电位器各1个，电阻，电容若干。</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SSI专用综合仪器:码型发生器、数字信号分析仪、IC逻辑测试仪、电压表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Proteus 数字信号采集器:能通过采集器与Proteus软件交互，可拓展实验箱功能。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cs="宋体"/>
                <w:i w:val="0"/>
                <w:color w:val="auto"/>
                <w:sz w:val="18"/>
                <w:szCs w:val="18"/>
                <w:highlight w:val="none"/>
                <w:u w:val="none"/>
                <w:lang w:val="en-US" w:eastAsia="zh-CN" w:bidi="ar"/>
              </w:rPr>
              <w:t xml:space="preserve">四</w:t>
            </w:r>
            <w:r>
              <w:rPr>
                <w:rFonts w:hint="eastAsia" w:ascii="宋体" w:hAnsi="宋体" w:eastAsia="宋体" w:cs="宋体"/>
                <w:i w:val="0"/>
                <w:color w:val="auto"/>
                <w:sz w:val="18"/>
                <w:szCs w:val="18"/>
                <w:highlight w:val="none"/>
                <w:u w:val="none"/>
                <w:lang w:val="en-US" w:eastAsia="zh-CN" w:bidi="ar"/>
              </w:rPr>
              <w:t xml:space="preserve">）配套资源：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1、★实验原理图、实验指导书、实验工程源代码、实验使用芯片DATASHEET、实验项目配备最新版.pdsprj工程仿真文件，提供资源截图证明。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2、提供不少于3个数字电路仿真系统账号给授课教师使用、通过网络账号登录在线使用</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仿真系统功能支持智能原理图设计、ProSPICE混合仿真、≥14种信号源（直流电压源、正弦波发生器、脉冲发生器、指数脉冲发生器、单频率调频波信号发生器、任意分段线性脉冲信号发生器、文件信号发生器、音频信号发生器、稳态逻辑电平发生器、单边沿信号发生器、单周期数字脉冲发生器、数字时钟信号发生器、模式信号发生器、可编程信号源）提供</w:t>
            </w:r>
            <w:r>
              <w:rPr>
                <w:rFonts w:hint="eastAsia" w:ascii="宋体" w:hAnsi="宋体" w:cs="宋体"/>
                <w:i w:val="0"/>
                <w:color w:val="auto"/>
                <w:sz w:val="18"/>
                <w:szCs w:val="18"/>
                <w:highlight w:val="none"/>
                <w:u w:val="none"/>
                <w:lang w:val="en-US" w:eastAsia="zh-CN" w:bidi="ar"/>
              </w:rPr>
              <w:t xml:space="preserve">信号源的</w:t>
            </w:r>
            <w:r>
              <w:rPr>
                <w:rFonts w:hint="eastAsia" w:ascii="宋体" w:hAnsi="宋体" w:eastAsia="宋体" w:cs="宋体"/>
                <w:i w:val="0"/>
                <w:color w:val="auto"/>
                <w:sz w:val="18"/>
                <w:szCs w:val="18"/>
                <w:highlight w:val="none"/>
                <w:u w:val="none"/>
                <w:lang w:val="en-US" w:eastAsia="zh-CN" w:bidi="ar"/>
              </w:rPr>
              <w:t xml:space="preserve">证明文件。≥13种虚拟仪器（虚拟示波器、逻辑分析仪、信号发生器、模式发生器、直流电压表/电流表、交流电压表/电流表、数字图案发生器、频率计、计数器、虚拟终端、逻辑探头、SPI调试器、I2C调试器、USB调试器），提供证明文件。支持仿真状态显示、高级图形仿真功能（工作点、瞬态特性、频率特性、传输特性、噪声、失真、傅立叶频谱分析、一致性分析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4、提供不少于15个.pdsprj格式的数字电路仿真实验项目，能与实验室现有仿真软件匹配使用。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（1）集成门电路逻辑功能测试实验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（2）组合逻辑电路实验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（3）编码器及其应用实验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（4）译码器及其应用实验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（5）字段译码器逻辑功能测试及其应用实验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（6）半加器和全加器实验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（7）触发器及其应用实验、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（8）时序逻辑电路设计实验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（9）计数、译码及显示电路实验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（10）集成移位寄存器应用实验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（11）555构成的模拟声响电路实验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（12）555组成的施密特触发器实验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（13）555定时器构成多谐振荡器实验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（14）555定时器构成单稳态触发器实验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（15）4路彩灯实验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（16）8路彩灯实验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cs="宋体"/>
                <w:i w:val="0"/>
                <w:color w:val="auto"/>
                <w:sz w:val="18"/>
                <w:szCs w:val="18"/>
                <w:highlight w:val="none"/>
                <w:u w:val="none"/>
                <w:lang w:val="en-US" w:eastAsia="zh-CN" w:bidi="ar"/>
              </w:rPr>
              <w:t xml:space="preserve">五</w:t>
            </w:r>
            <w:r>
              <w:rPr>
                <w:rFonts w:hint="eastAsia" w:ascii="宋体" w:hAnsi="宋体" w:eastAsia="宋体" w:cs="宋体"/>
                <w:i w:val="0"/>
                <w:color w:val="auto"/>
                <w:sz w:val="18"/>
                <w:szCs w:val="18"/>
                <w:highlight w:val="none"/>
                <w:u w:val="none"/>
                <w:lang w:val="en-US" w:eastAsia="zh-CN" w:bidi="ar"/>
              </w:rPr>
              <w:t xml:space="preserve">）实验项目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1、仿真与硬件实验;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集成门电路逻辑芯片参数测试、集成门电路的连接测试、集成门电路的逻辑功能测试、编码器与译码器的应用实验、数据选择器与数据比较器实验、半加器与全加器实验、触发器及其应用、竞争与冒险实验、计数器应用实验、集成移位寄存器应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2、综合仿真实验:抢答电路设计实验、电子秒表设计实验、多路彩灯控制器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二、模拟电路实验模块参数：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（一）系统要求：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1、满足模拟电子技术相关课程的实验教学需求提供虚实结合的基础实验、扩展实验和综合实验，能结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合Proteus仿真软件平台，用仿真的方法进行所有的实验，并在实际的硬件平台上验证仿真结果。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2、学生既可以通过该实验系统的仿真，了解相应实验的技术细节，又可以通过实际硬件电路的运行结果，建立对实验的感性认识。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可完成低频模拟电子技术课程实验，可在实验箱上任意拼插元件或者使用主板备用器件组成所需要的实验电路，另外可以使用典型子板电路，内装元件一目了然，并配有长度不等的插线，实验方便、快捷、元器件损坏易于更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cs="宋体"/>
                <w:i w:val="0"/>
                <w:color w:val="auto"/>
                <w:sz w:val="18"/>
                <w:szCs w:val="18"/>
                <w:highlight w:val="none"/>
                <w:u w:val="none"/>
                <w:lang w:val="en-US" w:eastAsia="zh-CN" w:bidi="ar"/>
              </w:rPr>
              <w:t xml:space="preserve">二</w:t>
            </w:r>
            <w:r>
              <w:rPr>
                <w:rFonts w:hint="eastAsia" w:ascii="宋体" w:hAnsi="宋体" w:eastAsia="宋体" w:cs="宋体"/>
                <w:i w:val="0"/>
                <w:color w:val="auto"/>
                <w:sz w:val="18"/>
                <w:szCs w:val="18"/>
                <w:highlight w:val="none"/>
                <w:u w:val="none"/>
                <w:lang w:val="en-US" w:eastAsia="zh-CN" w:bidi="ar"/>
              </w:rPr>
              <w:t xml:space="preserve">）系统特点：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1、按照典型实例优化布局，接插便利；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2、电路原理展示清晰，直观明了；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3、镀金插孔、灯笼式接头，使接触更可靠，寿命更长；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4、实验项目都配备有相应的Proteus仿真实验工程；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5、完整的使用说明书和仿真实验例程，学习更加事半功倍；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6、带短路报警、自动恢复功能，避免误操作对设备损害；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7、扩展性强，便利扩展新的实验、实训模块；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8、配备资源库，便利学生预习或实验辅助。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9、可拓展AI赋能电子设计全流程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9.1 AI辅助原理图设计：智能推荐元件、自动计算参数、检查电气连接合理性、优化布局；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9.2 AI辅助电路仿真：自动分析波形、提取关键参数、解释信号现象、给出优化建议；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9.3 AI辅助嵌入式开发：自动生成外设驱动代码、代码注释、逻辑优化、错误检查；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9.4 AI辅助PCB设计：智能检查布线规则、丝印防印、阻焊开口、差分对等高速设计规则；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9.5 AI辅助教学与评价：自动记录操作过程、诊断薄弱点、生成学习建议、辅助过程性评价。</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cs="宋体"/>
                <w:i w:val="0"/>
                <w:color w:val="auto"/>
                <w:sz w:val="18"/>
                <w:szCs w:val="18"/>
                <w:highlight w:val="none"/>
                <w:u w:val="none"/>
                <w:lang w:val="en-US" w:eastAsia="zh-CN" w:bidi="ar"/>
              </w:rPr>
              <w:t xml:space="preserve">三</w:t>
            </w:r>
            <w:r>
              <w:rPr>
                <w:rFonts w:hint="eastAsia" w:ascii="宋体" w:hAnsi="宋体" w:eastAsia="宋体" w:cs="宋体"/>
                <w:i w:val="0"/>
                <w:color w:val="auto"/>
                <w:sz w:val="18"/>
                <w:szCs w:val="18"/>
                <w:highlight w:val="none"/>
                <w:u w:val="none"/>
                <w:lang w:val="en-US" w:eastAsia="zh-CN" w:bidi="ar"/>
              </w:rPr>
              <w:t xml:space="preserve">）技术参数及指标：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1.箱体：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铝合金箱体，尺寸≥480mm×345mm×130mm。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2.电源：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电源接口、电源开关及指示灯、接地点（带短路报警、自动恢复功能），电源与地接口分布多处。</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输入：AC220V±10%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输出：DC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①  ＋1.3V～＋15V／0.5A；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－1.3V～－15V／0.5A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两路电压连续可调。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  ±12V／0.5A  共两路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AC 三抽头14V、16V、18V（一组）</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3.信号源：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直流信号源：双路 －0.5V～＋0.5V,－5V～＋5V（IMAX=1mA），两档连续可调。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4.独立电位器组：</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8个电位器（2个500kΩ、3个1MΩ、2个10kΩ、1个100kΩ），独立成模块，方便拆卸与维修。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5.元件库区：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场效应管：NMOS*1、PMOS*1、JFET*2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电阻：51*2、100*2、330*2、1K*2、4.7K*2、5.1K*2、10K*2、33K*2、47K*2、1M*2、51K*2、100K*3</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电容：0.01uF*2、0.1uF*7、0.22uF*2、10uF*2、100uF*2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普通二极管：IN4148*4</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稳压管：稳压值±6.2V*4、稳压值5.1V*2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蜂鸣器：蜂鸣器*2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光耦*1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风扇：模拟电机*1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运放：高精度运放*4</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集成稳压器件：7805、7905、317、337各一个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元器件插孔：主板预留若干插孔，可以自行安装元器件。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集成电路插座：</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圆孔型双列直插式集成电路插座：8脚*4、14脚*4、24脚*1。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7.检测元件区：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集成热敏电阻*2、烟雾传感器*1。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8、扩展子板资源：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（1）子板要求：实验电路设计成子板模块，模块电路选用高精度运放，可以与实验箱底板连接，模块需有透明外壳保护，可以在实验箱同时放置两块模块电路板。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（2）实验项目模块包含有：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①OTL功率放大电路实验板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②单级多级负反馈放大电路实验板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③场效应管放大电路实验板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④差动放大电路实验板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⑤串联晶体管稳压电路实验板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⑥集成稳压和可调电源电路实验板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⑦集成功率放大电路实验板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⑧集成运放电路实验板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⑨正弦波振荡电路板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⑩电路自由设计面包板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四、配套资源：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1、★实验原理图、实验指导书、实验工程源代码、实验使用芯片DATASHEET、实验项目配备最新版.pdsprj工程仿真文件，提供资源截图证明。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2、提供不少于3个模拟搭电路仿真系统账号给授课教师使用、通过网络账号登录在线使用</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仿真系统功能支持智能原理图设计、ProSPICE混合仿真、≥14种信号源（直流电压源、正弦波发生器、脉冲发生器、指数脉冲发生器、单频率调频波信号发生器、任意分段线性脉冲信号发生器、文件信号发生器、音频信号发生器、稳态逻辑电平发生器、单边沿信号发生器、单周期数字脉冲发生器、数字时钟信号发生器、模式信号发生器、可编程信号源）提供</w:t>
            </w:r>
            <w:r>
              <w:rPr>
                <w:rFonts w:hint="eastAsia" w:ascii="宋体" w:hAnsi="宋体" w:cs="宋体"/>
                <w:i w:val="0"/>
                <w:color w:val="auto"/>
                <w:sz w:val="18"/>
                <w:szCs w:val="18"/>
                <w:highlight w:val="none"/>
                <w:u w:val="none"/>
                <w:lang w:val="en-US" w:eastAsia="zh-CN" w:bidi="ar"/>
              </w:rPr>
              <w:t xml:space="preserve">信号源的</w:t>
            </w:r>
            <w:r>
              <w:rPr>
                <w:rFonts w:hint="eastAsia" w:ascii="宋体" w:hAnsi="宋体" w:eastAsia="宋体" w:cs="宋体"/>
                <w:i w:val="0"/>
                <w:color w:val="auto"/>
                <w:sz w:val="18"/>
                <w:szCs w:val="18"/>
                <w:highlight w:val="none"/>
                <w:u w:val="none"/>
                <w:lang w:val="en-US" w:eastAsia="zh-CN" w:bidi="ar"/>
              </w:rPr>
              <w:t xml:space="preserve">证明文件。≥13种虚拟仪器（虚拟示波器、逻辑分析仪、信号发生器、模式发生器、直流电压表/电流表、交流电压表/电流表、数字图案发生器、频率计、计数器、虚拟终端、逻辑探头、SPI调试器、I2C调试器、USB调试器），提供证明文件。支持仿真状态显示、高级图形仿真功能（工作点、瞬态特性、频率特性、传输特性、噪声、失真、傅立叶频谱分析、一致性分析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4、提供不少于15个.pdsprj格式的模拟电路仿真实验项目，能与实验室现有仿真软件匹配使用，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（1）基于图表的三极管转移特性测试实验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（2）单级交流放大电路实验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（3）射极跟随电路实验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（4）带负反馈的两级交流放大电路实验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（5）场效应管放大电路实验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（6）直流差动放大电路实验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（7）集成运算放大电路实验（I）</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（8）集成运算放大电路实验（II）</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（9）集成运算放大电路实验（III）</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（10）电压比较器实验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（11）RC正弦波振荡器电路实验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（12）波形发生电路实验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（13）集成功率放大电路实验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（14）电压频率转换实验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（15）整流滤波实验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五、实验项目</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1</w:t>
            </w:r>
            <w:r>
              <w:rPr>
                <w:rFonts w:hint="eastAsia" w:ascii="宋体" w:hAnsi="宋体" w:eastAsia="宋体" w:cs="宋体"/>
                <w:i w:val="0"/>
                <w:color w:val="auto"/>
                <w:sz w:val="18"/>
                <w:szCs w:val="18"/>
                <w:highlight w:val="none"/>
                <w:u w:val="none"/>
                <w:lang w:val="en-US" w:eastAsia="zh-CN" w:bidi="ar"/>
              </w:rPr>
              <w:t xml:space="preserve">、仿真基础实验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射极跟随电路、电压跟随器运放、单级交流放大电路、场效应管放大电路、直流差动放大电路、反向比例放大电路、同向比例放大电路、加法运算放大电路、减法运算放大电路、双端输入求和运算放大电路、带负反馈的两级交流放大电路、基于转移特性图表的三极管特性测试、低频功率放大器OTL功率放大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2</w:t>
            </w:r>
            <w:r>
              <w:rPr>
                <w:rFonts w:hint="eastAsia" w:ascii="宋体" w:hAnsi="宋体" w:eastAsia="宋体" w:cs="宋体"/>
                <w:i w:val="0"/>
                <w:color w:val="auto"/>
                <w:sz w:val="18"/>
                <w:szCs w:val="18"/>
                <w:highlight w:val="none"/>
                <w:u w:val="none"/>
                <w:lang w:val="en-US" w:eastAsia="zh-CN" w:bidi="ar"/>
              </w:rPr>
              <w:t xml:space="preserve">、硬件与仿真实验（选配硬件模块有关）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函数信号发生器调试实验、晶体管共射极单管放大器实验、晶体管两级放大器实验、场效应管放大器实验、负反馈放大器实验、射极跟随器实验、差动放大器实验、RC正弦波振荡器实验、集成运算放大器指标测试实验、集成运算放大器模拟运算电路实验、集成运算放大器有源滤波器实验、集成运算放大器电压比较器实验、低频功率放大器集成功率放大器实验、直流稳压电源晶体管稳压电源实验、直流稳压电源集成稳压器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3</w:t>
            </w:r>
            <w:r>
              <w:rPr>
                <w:rFonts w:hint="eastAsia" w:ascii="宋体" w:hAnsi="宋体" w:eastAsia="宋体" w:cs="宋体"/>
                <w:i w:val="0"/>
                <w:color w:val="auto"/>
                <w:sz w:val="18"/>
                <w:szCs w:val="18"/>
                <w:highlight w:val="none"/>
                <w:u w:val="none"/>
                <w:lang w:val="en-US" w:eastAsia="zh-CN" w:bidi="ar"/>
              </w:rPr>
              <w:t xml:space="preserve">、★实验项目资源包含实验原理图、实验指导书、实验工程源代码、实验使用芯片DATASHEET、实验项目配备最新版.pdsprj工程仿真文件，提供资源截图证明。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台</w:t>
            </w:r>
            <w:r/>
          </w:p>
        </w:tc>
      </w:tr>
    </w:tbl>
    <w:p>
      <w:pPr>
        <w:jc w:val="center"/>
        <w:spacing w:line="400" w:lineRule="exact"/>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0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三标段</w:t>
      </w:r>
      <w:r>
        <w:rPr>
          <w:rFonts w:hint="eastAsia" w:ascii="宋体" w:hAnsi="宋体" w:cs="宋体"/>
          <w:b/>
          <w:bCs/>
          <w:color w:val="auto"/>
          <w:szCs w:val="21"/>
          <w:highlight w:val="none"/>
          <w:lang w:eastAsia="zh-CN"/>
        </w:rPr>
        <w:t xml:space="preserve">：生物科技实训设备</w:t>
      </w:r>
      <w:r/>
    </w:p>
    <w:p>
      <w:pPr>
        <w:numPr>
          <w:ilvl w:val="0"/>
          <w:numId w:val="10"/>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采购清单：</w:t>
      </w:r>
      <w:r/>
    </w:p>
    <w:tbl>
      <w:tblPr>
        <w:tblStyle w:val="955"/>
        <w:tblW w:w="10224" w:type="dxa"/>
        <w:tblInd w:w="1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676"/>
        <w:gridCol w:w="696"/>
        <w:gridCol w:w="1022"/>
        <w:gridCol w:w="2048"/>
      </w:tblGrid>
      <w:tr>
        <w:trPr>
          <w:trHeight w:val="340"/>
        </w:trPr>
        <w:tc>
          <w:tcPr>
            <w:shd w:val="clear" w:color="auto" w:fill="auto"/>
            <w:tcW w:w="782"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序号</w:t>
            </w:r>
            <w:r/>
          </w:p>
        </w:tc>
        <w:tc>
          <w:tcPr>
            <w:shd w:val="clear" w:color="auto" w:fill="auto"/>
            <w:tcW w:w="567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20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单价最高限价（元）</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67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医疗电子组装与维护控制板</w:t>
            </w:r>
            <w:r/>
          </w:p>
        </w:tc>
        <w:tc>
          <w:tcPr>
            <w:shd w:val="clear" w:color="auto" w:fill="auto"/>
            <w:tcW w:w="696"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45</w:t>
            </w:r>
            <w:r/>
          </w:p>
        </w:tc>
        <w:tc>
          <w:tcPr>
            <w:shd w:val="clear" w:color="auto" w:fill="auto"/>
            <w:tcW w:w="1022"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套</w:t>
            </w:r>
            <w:r/>
          </w:p>
        </w:tc>
        <w:tc>
          <w:tcPr>
            <w:shd w:val="clear" w:color="auto" w:fill="auto"/>
            <w:tcW w:w="204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1150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67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医疗电子组装与维护操作软硬件设备</w:t>
            </w:r>
            <w:r/>
          </w:p>
        </w:tc>
        <w:tc>
          <w:tcPr>
            <w:shd w:val="clear" w:color="auto" w:fill="auto"/>
            <w:tcW w:w="696"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w:t>
            </w:r>
            <w:r/>
          </w:p>
        </w:tc>
        <w:tc>
          <w:tcPr>
            <w:shd w:val="clear" w:color="auto" w:fill="auto"/>
            <w:tcW w:w="1022" w:type="dxa"/>
            <w:vAlign w:val="center"/>
            <w:textDirection w:val="lrTb"/>
            <w:noWrap w:val="false"/>
          </w:tcPr>
          <w:p>
            <w:pPr>
              <w:jc w:val="center"/>
              <w:widowControl/>
              <w:rPr>
                <w:rFonts w:hint="eastAsia" w:ascii="宋体" w:hAnsi="宋体" w:cs="宋体"/>
                <w:color w:val="auto"/>
                <w:szCs w:val="21"/>
                <w:highlight w:val="none"/>
              </w:rPr>
            </w:pPr>
            <w:r>
              <w:rPr>
                <w:rFonts w:hint="eastAsia"/>
                <w:color w:val="auto"/>
                <w:highlight w:val="none"/>
                <w:lang w:val="en-US" w:eastAsia="zh-CN"/>
              </w:rPr>
              <w:t xml:space="preserve">套/点位</w:t>
            </w:r>
            <w:r/>
          </w:p>
        </w:tc>
        <w:tc>
          <w:tcPr>
            <w:shd w:val="clear" w:color="auto" w:fill="auto"/>
            <w:tcW w:w="204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9100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67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医疗电子组装与维护检测仪</w:t>
            </w:r>
            <w:r/>
          </w:p>
        </w:tc>
        <w:tc>
          <w:tcPr>
            <w:shd w:val="clear" w:color="auto" w:fill="auto"/>
            <w:tcW w:w="69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shd w:val="clear" w:color="auto" w:fill="auto"/>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2048"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15000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67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三用紫外分析仪</w:t>
            </w:r>
            <w:r/>
          </w:p>
        </w:tc>
        <w:tc>
          <w:tcPr>
            <w:shd w:val="clear" w:color="auto" w:fill="auto"/>
            <w:tcW w:w="69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W w:w="1022" w:type="dxa"/>
            <w:vAlign w:val="center"/>
            <w:textDirection w:val="lrTb"/>
            <w:noWrap w:val="false"/>
          </w:tcPr>
          <w:p>
            <w:pPr>
              <w:jc w:val="center"/>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套</w:t>
            </w:r>
            <w:r/>
          </w:p>
        </w:tc>
        <w:tc>
          <w:tcPr>
            <w:shd w:val="clear" w:color="auto" w:fill="auto"/>
            <w:tcW w:w="2048" w:type="dxa"/>
            <w:vAlign w:val="center"/>
            <w:textDirection w:val="lrTb"/>
            <w:noWrap w:val="false"/>
          </w:tcPr>
          <w:p>
            <w:pPr>
              <w:jc w:val="center"/>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320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567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电子天平</w:t>
            </w:r>
            <w:r/>
          </w:p>
        </w:tc>
        <w:tc>
          <w:tcPr>
            <w:shd w:val="clear" w:color="auto" w:fill="auto"/>
            <w:tcW w:w="696"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w:t>
            </w:r>
            <w:r/>
          </w:p>
        </w:tc>
        <w:tc>
          <w:tcPr>
            <w:shd w:val="clear" w:color="auto" w:fill="auto"/>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套</w:t>
            </w:r>
            <w:r/>
          </w:p>
        </w:tc>
        <w:tc>
          <w:tcPr>
            <w:shd w:val="clear" w:color="auto" w:fill="auto"/>
            <w:tcW w:w="2048" w:type="dxa"/>
            <w:vAlign w:val="center"/>
            <w:textDirection w:val="lrTb"/>
            <w:noWrap w:val="false"/>
          </w:tcPr>
          <w:p>
            <w:pPr>
              <w:jc w:val="center"/>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320</w:t>
            </w:r>
            <w:r/>
          </w:p>
        </w:tc>
      </w:tr>
      <w:tr>
        <w:trPr>
          <w:trHeight w:val="315"/>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W w:w="567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循环风系统</w:t>
            </w:r>
            <w:r/>
          </w:p>
        </w:tc>
        <w:tc>
          <w:tcPr>
            <w:shd w:val="clear" w:color="auto" w:fill="auto"/>
            <w:tcW w:w="69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102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套</w:t>
            </w:r>
            <w:r/>
          </w:p>
        </w:tc>
        <w:tc>
          <w:tcPr>
            <w:shd w:val="clear" w:color="auto" w:fill="auto"/>
            <w:tcW w:w="2048" w:type="dxa"/>
            <w:vAlign w:val="center"/>
            <w:textDirection w:val="lrTb"/>
            <w:noWrap w:val="false"/>
          </w:tcPr>
          <w:p>
            <w:pPr>
              <w:jc w:val="center"/>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98000</w:t>
            </w:r>
            <w:r/>
          </w:p>
        </w:tc>
      </w:tr>
      <w:tr>
        <w:trPr>
          <w:trHeight w:val="340"/>
        </w:trPr>
        <w:tc>
          <w:tcPr>
            <w:shd w:val="clear" w:color="auto" w:fill="auto"/>
            <w:tcW w:w="782"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rPr>
              <w:t xml:space="preserve">7</w:t>
            </w:r>
            <w:r/>
          </w:p>
        </w:tc>
        <w:tc>
          <w:tcPr>
            <w:shd w:val="clear" w:color="auto" w:fill="auto"/>
            <w:tcW w:w="5676"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eastAsia="zh-CN"/>
              </w:rPr>
              <w:t xml:space="preserve">实训室安全监控报警装备</w:t>
            </w:r>
            <w:r/>
          </w:p>
        </w:tc>
        <w:tc>
          <w:tcPr>
            <w:shd w:val="clear" w:color="auto" w:fill="auto"/>
            <w:tcW w:w="696"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eastAsia="zh-CN"/>
              </w:rPr>
              <w:t xml:space="preserve">1</w:t>
            </w:r>
            <w:r/>
          </w:p>
        </w:tc>
        <w:tc>
          <w:tcPr>
            <w:shd w:val="clear" w:color="auto" w:fill="auto"/>
            <w:tcW w:w="1022" w:type="dxa"/>
            <w:vAlign w:val="center"/>
            <w:textDirection w:val="lrTb"/>
            <w:noWrap w:val="false"/>
          </w:tcPr>
          <w:p>
            <w:pPr>
              <w:jc w:val="center"/>
              <w:widowControl/>
              <w:rPr>
                <w:rFonts w:hint="default" w:ascii="宋体" w:hAnsi="宋体" w:cs="宋体"/>
                <w:color w:val="auto"/>
                <w:szCs w:val="21"/>
                <w:highlight w:val="none"/>
                <w:lang w:val="en-US"/>
              </w:rPr>
            </w:pPr>
            <w:r>
              <w:rPr>
                <w:rFonts w:hint="default" w:ascii="宋体" w:hAnsi="宋体" w:cs="宋体"/>
                <w:color w:val="auto"/>
                <w:szCs w:val="21"/>
                <w:highlight w:val="none"/>
                <w:lang w:val="en-US" w:eastAsia="zh-CN"/>
              </w:rPr>
              <w:t xml:space="preserve">套</w:t>
            </w:r>
            <w:r/>
          </w:p>
        </w:tc>
        <w:tc>
          <w:tcPr>
            <w:shd w:val="clear" w:color="auto" w:fill="auto"/>
            <w:tcW w:w="2048"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30000</w:t>
            </w:r>
            <w:r/>
          </w:p>
        </w:tc>
      </w:tr>
    </w:tbl>
    <w:p>
      <w:pPr>
        <w:numPr>
          <w:ilvl w:val="0"/>
          <w:numId w:val="10"/>
        </w:numPr>
        <w:contextualSpacing/>
        <w:ind w:left="420" w:hanging="420"/>
        <w:spacing w:line="400" w:lineRule="exact"/>
        <w:tabs>
          <w:tab w:val="left" w:pos="420" w:leader="none"/>
        </w:tabs>
        <w:rPr>
          <w:rFonts w:hint="eastAsia" w:ascii="宋体" w:hAnsi="宋体"/>
          <w:color w:val="auto"/>
          <w:szCs w:val="21"/>
          <w:highlight w:val="none"/>
        </w:rPr>
      </w:pPr>
      <w:r>
        <w:rPr>
          <w:rFonts w:hint="eastAsia" w:ascii="宋体" w:hAnsi="宋体"/>
          <w:color w:val="auto"/>
          <w:szCs w:val="21"/>
          <w:highlight w:val="none"/>
        </w:rPr>
        <w:t xml:space="preserve">详细技术参数、指标要求：</w:t>
      </w:r>
      <w:r/>
    </w:p>
    <w:tbl>
      <w:tblPr>
        <w:tblStyle w:val="955"/>
        <w:tblW w:w="10237"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667"/>
        <w:gridCol w:w="900"/>
        <w:gridCol w:w="7590"/>
        <w:gridCol w:w="585"/>
        <w:gridCol w:w="495"/>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rPr>
              <w:t xml:space="preserve">详细技术参数、指标要求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医疗电子组装与维护控制板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一、抗静电拆焊台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双屏数显，温度单位切换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无刷涡扇风机，气流量≤120L/min，螺旋风口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陶瓷发热芯，温度最高可至500℃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整体功耗≤500W</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可进行温度校准，风速设置，热风连接，烙铁连接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插拔式金属插口，抗磨隔热硅胶保护套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自动冷却，自动休眠功能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二、焊接实训套件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提供不少于35款独立实训电路板，全套配齐元器件、配件，电子技能实训、焊接、调试、故障检修训练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采用阻燃基板，板厚≥1.6mm，铜箔厚度≥35μm，阻燃等级 V-0 级；无铅工艺，过孔镀锡，丝印清晰完整，标注元件标号、极性、引脚、测试点，板面耐磨不易脱落。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采用正规工业级正品元器件，完整分立元件、集成芯片、接插件、指示灯、蜂鸣器、传感器等。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出厂预检测，通电功能正常；支持焊接、组装、参数测量、电路调试、故障分析与排除训练；模拟类、数字类、单片机类电路功能达标，参数误差在合理教学范围内。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配备实训指导书（含原理图、BOM 清单、焊接步骤、调试流程、故障排查要点）；同时提供全套电子档。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售后：整体质保不少于 1 年；LED、蜂鸣器、按键、接插件等易损件免费质保 6个月。质保期内非人为损坏免费维修、更换配件。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医疗电子组装与维护操作软硬件设备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left"/>
              <w:keepLines w:val="0"/>
              <w:keepNext w:val="0"/>
              <w:pageBreakBefore w:val="0"/>
              <w:widowControl/>
              <w:rPr>
                <w:rFonts w:hint="default" w:ascii="宋体" w:hAnsi="宋体" w:cs="宋体"/>
                <w:b w:val="0"/>
                <w:bCs w:val="0"/>
                <w:color w:val="auto"/>
                <w:sz w:val="18"/>
                <w:szCs w:val="18"/>
                <w:highlight w:val="none"/>
                <w:lang w:val="en-US" w:eastAsia="zh-CN" w:bidi="ar"/>
              </w:rPr>
              <w:outlineLvl w:val="9"/>
              <w:suppressLineNumbers w:val="0"/>
            </w:pPr>
            <w:r>
              <w:rPr>
                <w:rFonts w:hint="eastAsia" w:ascii="宋体" w:hAnsi="宋体" w:cs="宋体"/>
                <w:b w:val="0"/>
                <w:bCs w:val="0"/>
                <w:color w:val="auto"/>
                <w:sz w:val="18"/>
                <w:szCs w:val="18"/>
                <w:highlight w:val="none"/>
                <w:lang w:val="en-US" w:eastAsia="zh-CN" w:bidi="ar"/>
              </w:rPr>
              <w:t xml:space="preserve">一、产品数量</w:t>
            </w:r>
            <w:r/>
          </w:p>
          <w:p>
            <w:pPr>
              <w:jc w:val="left"/>
              <w:keepLines w:val="0"/>
              <w:keepNext w:val="0"/>
              <w:pageBreakBefore w:val="0"/>
              <w:widowControl/>
              <w:rPr>
                <w:rFonts w:hint="eastAsia" w:ascii="宋体" w:hAnsi="宋体" w:cs="宋体"/>
                <w:b w:val="0"/>
                <w:bCs w:val="0"/>
                <w:color w:val="auto"/>
                <w:sz w:val="18"/>
                <w:szCs w:val="18"/>
                <w:highlight w:val="none"/>
                <w:lang w:eastAsia="zh-CN" w:bidi="ar"/>
              </w:rPr>
              <w:outlineLvl w:val="9"/>
              <w:suppressLineNumbers w:val="0"/>
            </w:pPr>
            <w:r>
              <w:rPr>
                <w:rFonts w:hint="eastAsia" w:ascii="宋体" w:hAnsi="宋体" w:cs="宋体"/>
                <w:b w:val="0"/>
                <w:bCs w:val="0"/>
                <w:color w:val="auto"/>
                <w:sz w:val="18"/>
                <w:szCs w:val="18"/>
                <w:highlight w:val="none"/>
                <w:lang w:val="en-US" w:eastAsia="zh-CN" w:bidi="ar"/>
              </w:rPr>
              <w:t xml:space="preserve">1. </w:t>
            </w:r>
            <w:r>
              <w:rPr>
                <w:rFonts w:hint="eastAsia" w:ascii="宋体" w:hAnsi="宋体" w:cs="宋体"/>
                <w:b w:val="0"/>
                <w:bCs w:val="0"/>
                <w:color w:val="auto"/>
                <w:sz w:val="18"/>
                <w:szCs w:val="18"/>
                <w:highlight w:val="none"/>
                <w:lang w:bidi="ar"/>
              </w:rPr>
              <w:t xml:space="preserve">实训硬件设备1套</w:t>
            </w:r>
            <w:r>
              <w:rPr>
                <w:rFonts w:hint="eastAsia" w:ascii="宋体" w:hAnsi="宋体" w:cs="宋体"/>
                <w:b w:val="0"/>
                <w:bCs w:val="0"/>
                <w:color w:val="auto"/>
                <w:sz w:val="18"/>
                <w:szCs w:val="18"/>
                <w:highlight w:val="none"/>
                <w:lang w:eastAsia="zh-CN" w:bidi="ar"/>
              </w:rPr>
              <w:t xml:space="preserve">；</w:t>
            </w:r>
            <w:r/>
          </w:p>
          <w:p>
            <w:pPr>
              <w:jc w:val="left"/>
              <w:keepLines w:val="0"/>
              <w:keepNext w:val="0"/>
              <w:pageBreakBefore w:val="0"/>
              <w:widowControl/>
              <w:rPr>
                <w:rFonts w:hint="eastAsia" w:ascii="宋体" w:hAnsi="宋体" w:eastAsia="宋体" w:cs="宋体"/>
                <w:b w:val="0"/>
                <w:bCs w:val="0"/>
                <w:color w:val="auto"/>
                <w:sz w:val="18"/>
                <w:szCs w:val="18"/>
                <w:highlight w:val="none"/>
                <w:lang w:eastAsia="zh-CN" w:bidi="ar"/>
              </w:rPr>
              <w:outlineLvl w:val="9"/>
              <w:suppressLineNumbers w:val="0"/>
            </w:pPr>
            <w:r>
              <w:rPr>
                <w:rFonts w:hint="eastAsia" w:ascii="宋体" w:hAnsi="宋体" w:cs="宋体"/>
                <w:b w:val="0"/>
                <w:bCs w:val="0"/>
                <w:color w:val="auto"/>
                <w:sz w:val="18"/>
                <w:szCs w:val="18"/>
                <w:highlight w:val="none"/>
                <w:lang w:bidi="ar"/>
              </w:rPr>
              <w:t xml:space="preserve">2</w:t>
            </w:r>
            <w:r>
              <w:rPr>
                <w:rFonts w:hint="eastAsia" w:ascii="宋体" w:hAnsi="宋体" w:cs="宋体"/>
                <w:b w:val="0"/>
                <w:bCs w:val="0"/>
                <w:color w:val="auto"/>
                <w:sz w:val="18"/>
                <w:szCs w:val="18"/>
                <w:highlight w:val="none"/>
                <w:lang w:val="en-US" w:eastAsia="zh-CN" w:bidi="ar"/>
              </w:rPr>
              <w:t xml:space="preserve">. </w:t>
            </w:r>
            <w:r>
              <w:rPr>
                <w:rFonts w:hint="eastAsia" w:ascii="宋体" w:hAnsi="宋体" w:cs="宋体"/>
                <w:b w:val="0"/>
                <w:bCs w:val="0"/>
                <w:color w:val="auto"/>
                <w:sz w:val="18"/>
                <w:szCs w:val="18"/>
                <w:highlight w:val="none"/>
                <w:lang w:bidi="ar"/>
              </w:rPr>
              <w:t xml:space="preserve">软件安装点位：2</w:t>
            </w:r>
            <w:r>
              <w:rPr>
                <w:rFonts w:ascii="宋体" w:hAnsi="宋体" w:cs="宋体"/>
                <w:b w:val="0"/>
                <w:bCs w:val="0"/>
                <w:color w:val="auto"/>
                <w:sz w:val="18"/>
                <w:szCs w:val="18"/>
                <w:highlight w:val="none"/>
                <w:lang w:bidi="ar"/>
              </w:rPr>
              <w:t xml:space="preserve">0</w:t>
            </w:r>
            <w:r>
              <w:rPr>
                <w:rFonts w:hint="eastAsia" w:ascii="宋体" w:hAnsi="宋体" w:cs="宋体"/>
                <w:b w:val="0"/>
                <w:bCs w:val="0"/>
                <w:color w:val="auto"/>
                <w:sz w:val="18"/>
                <w:szCs w:val="18"/>
                <w:highlight w:val="none"/>
                <w:lang w:bidi="ar"/>
              </w:rPr>
              <w:t xml:space="preserve">个。</w:t>
            </w:r>
            <w:r/>
          </w:p>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cs="宋体"/>
                <w:i w:val="0"/>
                <w:color w:val="auto"/>
                <w:sz w:val="18"/>
                <w:szCs w:val="18"/>
                <w:highlight w:val="none"/>
                <w:u w:val="none"/>
                <w:lang w:val="en-US" w:eastAsia="zh-CN" w:bidi="ar"/>
              </w:rPr>
              <w:t xml:space="preserve">二</w:t>
            </w:r>
            <w:r>
              <w:rPr>
                <w:rFonts w:hint="eastAsia" w:ascii="宋体" w:hAnsi="宋体" w:eastAsia="宋体" w:cs="宋体"/>
                <w:i w:val="0"/>
                <w:color w:val="auto"/>
                <w:sz w:val="18"/>
                <w:szCs w:val="18"/>
                <w:highlight w:val="none"/>
                <w:u w:val="none"/>
                <w:lang w:val="en-US" w:eastAsia="zh-CN" w:bidi="ar"/>
              </w:rPr>
              <w:t xml:space="preserve">、硬件设备实训模块技术要求：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显示器： ≥10英寸，TFT型彩色液晶屏，分辨率：≥800 × 600点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操作方式：全触摸屏操作，支持中文拼音输入法</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可测量参数：ECG(3/6导联)，Resp，NIBP，SpO2，Temp,CO2,IBP</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支持7导 ECG同屏同时显示；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具备IPX1防水等级</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数据存储：≥120小时 趋势图，列表，NIBP列表，报警列表，回顾视图时间同步链接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120小时ECG全息波形回顾,波形可扩展或压缩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当出现技术报警时，会自动显示与该报警相关的电子图解操作指南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 可通过帮助菜单直接显示相关的学习菜单</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 标配有线网口可直接连接中央监护仪，支持HL7数据输出标准；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 可将常用菜单设置为快捷功能键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 跨床监护功能：8床位，支持8床同时同屏监测；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 标配镍氢电池，一块电池可持续监护≥3小时；</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三</w:t>
            </w:r>
            <w:r>
              <w:rPr>
                <w:rFonts w:hint="eastAsia" w:ascii="宋体" w:hAnsi="宋体" w:eastAsia="宋体" w:cs="宋体"/>
                <w:i w:val="0"/>
                <w:color w:val="auto"/>
                <w:sz w:val="18"/>
                <w:szCs w:val="18"/>
                <w:highlight w:val="none"/>
                <w:u w:val="none"/>
                <w:lang w:val="en-US" w:eastAsia="zh-CN" w:bidi="ar"/>
              </w:rPr>
              <w:t xml:space="preserve">、生产教学培训要求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部件检查区至少提供5项理实一体化仿真实训任务和配套实训指导手册；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装配区至少提供5项理实一体化仿真实训任务和配套实训指导手册；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调试检查区至少提供3项理实一体化仿真实训任务和配套实训指导手册；</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四</w:t>
            </w:r>
            <w:r>
              <w:rPr>
                <w:rFonts w:hint="eastAsia" w:ascii="宋体" w:hAnsi="宋体" w:eastAsia="宋体" w:cs="宋体"/>
                <w:i w:val="0"/>
                <w:color w:val="auto"/>
                <w:sz w:val="18"/>
                <w:szCs w:val="18"/>
                <w:highlight w:val="none"/>
                <w:u w:val="none"/>
                <w:lang w:val="en-US" w:eastAsia="zh-CN" w:bidi="ar"/>
              </w:rPr>
              <w:t xml:space="preserve">、系统应满足产教协同育人的要求，严格遵照医用电子仪器生产企业实际生产流程，实现监护仪设备结构认知、单元模块装配、整机装配、入库检查、产品包装、检验工具认知、安规测试等生产全流程的仿真。</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五</w:t>
            </w:r>
            <w:r>
              <w:rPr>
                <w:rFonts w:hint="eastAsia" w:ascii="宋体" w:hAnsi="宋体" w:eastAsia="宋体" w:cs="宋体"/>
                <w:i w:val="0"/>
                <w:color w:val="auto"/>
                <w:sz w:val="18"/>
                <w:szCs w:val="18"/>
                <w:highlight w:val="none"/>
                <w:u w:val="none"/>
                <w:lang w:val="en-US" w:eastAsia="zh-CN" w:bidi="ar"/>
              </w:rPr>
              <w:t xml:space="preserve">、仿真软件功能要求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软件设计教学模式具有课程、项目、任务驱动的理实一体理念，可与现有虚拟仿真平台无缝对接。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能通过浏览、观看仪器设备原理、构造及实训操作演示，从而进行仪器设备相关知识、拆装及维护的学习。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练习实训与考核时间记录。</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操作步骤追踪与统计。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可选择要实训的部件模型及操作工具。</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在学习模式下，操作步骤提示、零部件高亮提示可自由显示或隐藏。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当鼠标移动经零部件时，能够对其进行放大显示。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在装配时具有安装位置提示功能。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 通过鼠标实现对设备的缩放、平移和旋转操作。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 按要求对仪器设备进行拆装，拆装操作中可选择工具和零件模型并可对操作进行判断。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 具有操作引导功能。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12.可进行自我操作练习、模拟考核等自我评估。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六、仿真考核需求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能够在仿真环境中考核学生对设备整机及零部件的认知情况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能够在仿真环境中考核学生对零部件入库相关操作的掌握情况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能够在仿真环境中考核学生对整机装配、单元装配等装配过程的掌握情况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能够在仿真环境中考核学生对安规检测等测试过程的掌握情况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能够在仿真环境中考核学生对产品包装等过程的掌握情况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能够对考核过程自动评分，并自动汇总考核结果，教师可以在管理后台查阅所有学生的操作过程与得分情况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考核评分应包含操作维度与时间维度，同时考察学生操作的正确性和熟练度，以进行知识、技能和专业法规掌握程度的评估。在操作正确的情况下，所用时间越短，得分越高。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default" w:ascii="宋体" w:hAnsi="宋体" w:eastAsia="宋体" w:cs="宋体"/>
                <w:i w:val="0"/>
                <w:color w:val="auto"/>
                <w:sz w:val="18"/>
                <w:szCs w:val="18"/>
                <w:highlight w:val="none"/>
                <w:u w:val="none"/>
                <w:lang w:val="en-US"/>
              </w:rPr>
              <w:outlineLvl w:val="9"/>
              <w:suppressLineNumbers w:val="0"/>
            </w:pPr>
            <w:r>
              <w:rPr>
                <w:rFonts w:hint="eastAsia" w:ascii="宋体" w:hAnsi="宋体" w:cs="宋体"/>
                <w:i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rPr>
                <w:rFonts w:hint="eastAsia"/>
                <w:color w:val="auto"/>
                <w:highlight w:val="none"/>
                <w:lang w:val="en-US" w:eastAsia="zh-CN"/>
              </w:rPr>
              <w:t xml:space="preserve">/点位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医疗电子组装与维护检测仪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一、医用泄漏电流测试仪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1.用于医用电气设备对地漏电流、外壳漏电流、患者漏电流、患者辅助电流检测，满足 GB9706.1-2007（IEC60601-1:1988）医用电气设备安全通用要求。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2.测试输出工作电压AC 0～250V 连续可调精度：±5% ±3 个字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3.泄漏电流测试范围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AC/DC：5μA～200μA，精度 ±5% ±3 个字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AC/DC：0.2mA～2mA，精度 ±5% ±3 个字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AC：2mA～10mA，精度 ±5% ±3 个字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4.泄漏电流报警值5μA～200μA ±5% ±3 个字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5.可连续任意设置报警值 / 0.2mA～2mA / 2mA～10mA  ±5% ±3 个字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6.隔离变压器容量：500VA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7.可兼容 1kVA/2kVA 规格</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8.测试时间范围：1～99s 连续设定 精度：±1%  支持定时测试与手动测试两种模式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9.全数显，同时显示测试电压、泄漏电流、测试时间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10.电压、电流、时间独立数字显示窗口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11.完全模拟人体阻抗，符合 GB9706.1-2007 19.4 测量装置要求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12.检测电路交流电流采用真有效检波电路和直流电流直流滤波电路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13.频响范围：可达 1MHz，可测交流、直流、正弦波、复合波形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14.支持正常状态 / 单一故障状态一键切换测试。</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15.支持测试电源极性转换、辅助电压极性转换。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16.具备超漏报警功能：超限时声光报警、自动切断输出电压。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17.具备启动、复位、电压调节、电流预置、量程切换、交直流切换完整操作功能。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18.配备专用接线端子：MD 测量输入端（含接地端）FE 功能接地端PE 保护接地端辅助电压输出端 测试电源输出端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19.具备PE 接地开关、FE 接地开关、MD 接地开关、辅助电源接地开关。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二、心电信号模拟器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1.采用不少于10个万用心电接头，可以方便快捷连接监护仪、心电图机等心电类产品导联线。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2.12导联同步心电信号输出，输出不同的12导心电波形。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3.需内置大容量锂电池，电源管理模块，在使用过程中保证电源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4.稳定、低干扰的输出；选配标准的micro usb通用接口电源充电器。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5.采用菜单式操作,参数更改简单、方便、快捷，方便用户设置。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6.采用OLED显示屏，显示菜单内容。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7.简单的按键操作，菜单管理，使用简单方便。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8.内置中英文的波形设置说明，可以波形设置及参数选择。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三、血氧信号模拟器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1.外置式模拟手指，可以方便连接任何血氧类检测仪器；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2.透射式多功能光学模拟仪，内置常用的BCI、NELLCOR、Mindray、Masimo、BioLight、EDAN、Creative、OmiMax波形曲线；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3.血氧饱和度模拟范围：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80%、85%、90%、98%，4点数值检测校准，误差≤1%；60%、65%、70%、75%，4点数值检测校准，误差≤2%；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4.脉率模拟范围：30bpm、60bpm、80bpm、100bpm、120bpm、160bpm、180bpm、240bpm，共8个测试点，误差≤1bpm；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5.脉搏强度：1%、2%、4%、5%、10%、20%；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6.灵敏度：正常、高两种选择；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7.直流分量：Auto，1-100；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8.交换：是、否两种选择；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售后：整机质保不少于1年，供应商应提供安装调试及操作培训服务；提供常用备品备件供应渠道及价格清单。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三用紫外分析仪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1.用途：适用于DNA/RNA电泳凝胶样品观察、蛋白质及核苷酸检测、薄层层析与纸层分析斑点定位、荧光药物质量检查、黄曲霉素等毒素检测。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2.技术参数要求：即开即用，无</w:t>
            </w:r>
            <w:r>
              <w:rPr>
                <w:rFonts w:hint="eastAsia" w:ascii="宋体" w:hAnsi="宋体" w:eastAsia="宋体" w:cs="宋体"/>
                <w:i w:val="0"/>
                <w:color w:val="auto"/>
                <w:sz w:val="18"/>
                <w:szCs w:val="18"/>
                <w:highlight w:val="none"/>
                <w:u w:val="none"/>
                <w:lang w:val="en-US" w:eastAsia="zh-CN" w:bidi="ar"/>
              </w:rPr>
              <w:t xml:space="preserve">需预热，可长时间连续工作；台式结构，可同时或分别提供短波紫外（峰值254nm）、长波紫外（峰值365nm）及可见光三种光源；短波和长波紫外许配置独立光源，各不少于一组光源；灯管用石英玻璃紫外灯管，单只灯管功率≥6W，双波长合计≥14W，灯管工作电压50V±10V；滤光片有效透光面积应≥200mm*50mm，可滤除可见光，透射特定波长紫外光；内置可见光荧光灯（点样照明灯）≥1支，功率≥4W，用于层析板点样定位照明；三个光源分别有独立控制开关，支持单独或同时开启；具备过流保护功能；紫外滤光片表面应便于清洁维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3.售后：整机质保不少于1年，灯管质保不少于3个月；供应商应提供安装调试及操作培训服务</w:t>
            </w:r>
            <w:r>
              <w:rPr>
                <w:rFonts w:hint="eastAsia" w:ascii="宋体" w:hAnsi="宋体" w:cs="宋体"/>
                <w:i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1.量程范围（g）  0-300g</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2.实际分度值d（g）0.001</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3.重复性误差(g) ±0.02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4.线性误差(g) ±0.02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5.稳定时间（s） 1S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6.称量盘规格（mm）125mm 圆盘</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7.新型AD芯片，称重单位lb,斤,g,kg,盎司等8种单位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8.取样点数功能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9.插电充电两用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循环风系统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 项目概况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（1）教研室面积270㎡（30m×9m），层高3m，体积810m³。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（2）最大同时使用人数40人，属人员密集型公共教学场所。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（3）设置机械新风+机械排风系统，实现室内外空气置换。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总体要求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（1）系统模式：机械新风送风+机械排风同步运行，正压置换。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（2）人均新风量：≥40 m³/(h·人)。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（3）系统总新风量：≥1600 m³/h。</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（4）总排风量：与新风量匹配，偏差≤±10%。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（5）运行噪音：≤54 dB(A)（按GB 50118测量）。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（6）适用规范：GB 37488-2019、GB 50736-2012、GB 50016、GB 50118。</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新风系统技术要求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（1）新风机组：风量≥1600 m³/h，电机效率≥IE3。</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（2）空气过滤：初效+中效（G4+F7），PM2.5计数效率≥70%。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（3）压差报警：过滤器段配置压差报警开关，阻力达阈值时报警提示更换滤网。</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（4）新风口位置：避开排风口及污染源，底部距地≥2.5m。</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排风系统技术要求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（1）独立机械排风，风量≥1400 m³/h，风管不与新风共用。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（2）排风机与送风机联动控制，同时启停。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（3）排风口设于教研室对角或气流合理位置，避免短路。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电气控制要求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（1）墙面距地1.3m、灯开关旁设就地启停开关，控制送/排风。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（2）所有电气设备、端子、电缆两端做永久性标识（点位、编号、功能）。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（3）电气系统可靠接地，绝缘电阻≥1MΩ，符合GB 50303。</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降噪要求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（1）风机安装减震装置，风管与设备连接处设软接。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（2）主风管及末端风口前设消声器，确保噪音≤54 dB(A)。</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（3）送、排风口末端风速≤3 m/s。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运维及耗材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（1）选用少维护型风机，质保期内除更换滤芯外无需定期维修。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（2）竣工验收时提供5倍常规滤芯用量，满足不少于2年不间断运行。提供滤芯规格及更换说明。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（3）按每日运行10小时计，常规滤芯更换周期≤6个月。</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供货范围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（1）新风机组（含过滤器、压差报警装置）1台。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（2）排风机1台。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（3）全套风管、风口、阀门、消声器等。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（4）控制开关、线路、线管等电气材料。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（5）技术资料及操作手册。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（6）5倍常规滤芯用量（满足不少于2年运行）。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7"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实训室安全监控报警装备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 气体报警主机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要求：5 点位，无线传输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功能：实时显示各探测器浓度、报警状态、声光报警、数据存储、故障自检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供电：AC220V</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安装方式：壁挂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气体探测器 — 氧气探头（1 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检测气体：氧气（O₂）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结构：防爆型，独立LCD 数码显示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功能：声光报警 + 物联网上传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输出：无线信号上传主机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适用：实验室、危废间缺氧监测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气体探测器 — 甲醇探头（2 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检测气体：甲醇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结构：防爆型，独立显示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功能：声光报警、物联网传输、浓度实时显示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输出：无线信号上传主机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适用：危化品储存间泄漏监测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气体探测器 — 石油醚探头（2 只）</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检测气体：石油醚</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结构：防爆型，独立显示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功能：声光报警、物联网传输、浓度实时显示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输出：无线信号上传主机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适用：危化品储存间泄漏监测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防爆排风机（4 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类型：防爆轴流风机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防护等级：不低于 Ex d IIB T4</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用途：危废间强制排风、防爆安全排风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数量：4 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管线敷设（电源线）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内容：防爆电源线、穿线管、固定、布线</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长度：150 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要求：符合防爆电气安装规范，整齐、安全、阻燃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风管配套装置（4 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内容：风口、弯头、变径、法兰、软接、固定支架等全套配件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数量：4 套（对应 4 台风机）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要求：匹配风机风量，密封不漏风，符合消防 / 防爆要求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防爆风机控制箱（4 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功能：报警联动启动 + 手动启停双控制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防爆等级：Ex d IIB T4 或以上</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保护：过载、短路保护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数量：4 台（每台风机对应 1 台控制箱）</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 辅材（1 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包含扎带、膨胀螺丝、接线端子、绝缘胶带、防爆接头、固定件等全套安装辅材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bl>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0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四标段</w:t>
      </w:r>
      <w:r>
        <w:rPr>
          <w:rFonts w:hint="eastAsia" w:ascii="宋体" w:hAnsi="宋体" w:cs="宋体"/>
          <w:b/>
          <w:bCs/>
          <w:color w:val="auto"/>
          <w:szCs w:val="21"/>
          <w:highlight w:val="none"/>
          <w:lang w:eastAsia="zh-CN"/>
        </w:rPr>
        <w:t xml:space="preserve">：数字艺术实训设备</w:t>
      </w:r>
      <w:r/>
    </w:p>
    <w:p>
      <w:pPr>
        <w:numPr>
          <w:ilvl w:val="0"/>
          <w:numId w:val="11"/>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采购清单：</w:t>
      </w:r>
      <w:r/>
    </w:p>
    <w:tbl>
      <w:tblPr>
        <w:tblStyle w:val="955"/>
        <w:tblW w:w="10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857"/>
        <w:gridCol w:w="735"/>
        <w:gridCol w:w="795"/>
        <w:gridCol w:w="1995"/>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85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7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99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单价最高限价（元）</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数字化产品设计与开发赛训套件</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65600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视觉艺术设计实训设备</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99800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智能视频生成系统</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50000</w:t>
            </w:r>
            <w:r/>
          </w:p>
        </w:tc>
      </w:tr>
      <w:tr>
        <w:trPr>
          <w:trHeight w:val="340"/>
        </w:trPr>
        <w:tc>
          <w:tcPr>
            <w:shd w:val="clear" w:color="auto" w:fill="auto"/>
            <w:tcW w:w="78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AIGC智能创作引擎</w:t>
            </w:r>
            <w:r/>
          </w:p>
        </w:tc>
        <w:tc>
          <w:tcPr>
            <w:shd w:val="clear" w:color="auto" w:fill="auto"/>
            <w:tcW w:w="73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9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95"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60000</w:t>
            </w:r>
            <w:r/>
          </w:p>
        </w:tc>
      </w:tr>
    </w:tbl>
    <w:p>
      <w:pPr>
        <w:numPr>
          <w:ilvl w:val="0"/>
          <w:numId w:val="11"/>
        </w:numPr>
        <w:contextualSpacing/>
        <w:ind w:left="420" w:hanging="420"/>
        <w:spacing w:line="400" w:lineRule="exact"/>
        <w:tabs>
          <w:tab w:val="left" w:pos="420" w:leader="none"/>
        </w:tabs>
        <w:rPr>
          <w:rFonts w:hint="eastAsia" w:ascii="宋体" w:hAnsi="宋体"/>
          <w:color w:val="auto"/>
          <w:szCs w:val="21"/>
          <w:highlight w:val="none"/>
        </w:rPr>
      </w:pPr>
      <w:r>
        <w:rPr>
          <w:rFonts w:hint="eastAsia" w:ascii="宋体" w:hAnsi="宋体"/>
          <w:color w:val="auto"/>
          <w:szCs w:val="21"/>
          <w:highlight w:val="none"/>
        </w:rPr>
        <w:t xml:space="preserve">详细技术参数、指标要求：</w:t>
      </w:r>
      <w:r/>
    </w:p>
    <w:tbl>
      <w:tblPr>
        <w:tblStyle w:val="955"/>
        <w:tblW w:w="10056"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711"/>
        <w:gridCol w:w="825"/>
        <w:gridCol w:w="7335"/>
        <w:gridCol w:w="555"/>
        <w:gridCol w:w="630"/>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rPr>
              <w:t xml:space="preserve">详细技术参数、指标要求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数字化产品设计与开发赛训套件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numPr>
                <w:ilvl w:val="0"/>
                <w:numId w:val="12"/>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★AI 3D生成模型聚合：系统须聚合≥2个文生3D/图生3D生成管道，须同时包含国产模型模型，。模型列表以投标人实际接入情况为准</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提供模型的接入清单及相应的接入证明。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2.文生3D：支持通过自然语言描述生成三维模型，提交前完成内容安全检测，支持轮询检测机制，超时阈值不低于12分钟。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图生3D：支持通过参考图片生成三维模型，输出OBJ/FBX/GLB/STL/ 等主流3D格式，支持白模/贴图模式切换。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★多材质与多风格渲染：支持PBR材质渲染，贴图风格≥5种（通用、石雕、青花瓷、卡通、赛博朋克等），光影预设≥3种（工作室光、户外天光、戏剧光影）。</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3D模型库：内置≥50个工业产品3D模型库（覆盖玩具、家电、机械零件、文创产品等类别），支持模型文件直接导入实训平台使用。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赛项适配：系统须满足职业院校技能大赛“数字化产品设计与开发”赛项技术要求，支持产品数字化建模、渲染输出、装配展示等全流程赛项训练。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教学说明：确保软件为正版授权，无知识产权纠纷。</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赛训环境：数字化产品终端显示设备、手绘板、软件制作开发设备环境</w:t>
            </w:r>
            <w:r/>
          </w:p>
          <w:p>
            <w:pPr>
              <w:numPr>
                <w:ilvl w:val="0"/>
                <w:numId w:val="0"/>
              </w:numPr>
              <w:jc w:val="left"/>
              <w:keepLines w:val="0"/>
              <w:keepNext w:val="0"/>
              <w:pageBreakBefore w:val="0"/>
              <w:widowControl/>
              <w:rPr>
                <w:rFonts w:hint="eastAsia" w:ascii="宋体" w:hAnsi="宋体" w:cs="宋体"/>
                <w:i w:val="0"/>
                <w:color w:val="auto"/>
                <w:sz w:val="18"/>
                <w:szCs w:val="18"/>
                <w:highlight w:val="none"/>
                <w:u w:val="none"/>
                <w:lang w:val="en-US" w:eastAsia="zh-CN" w:bidi="ar"/>
              </w:rPr>
              <w:outlineLvl w:val="9"/>
              <w:suppressLineNumbers w:val="0"/>
            </w:pPr>
            <w:r>
              <w:rPr>
                <w:rFonts w:hint="eastAsia" w:ascii="宋体" w:hAnsi="宋体" w:cs="宋体"/>
                <w:i w:val="0"/>
                <w:color w:val="auto"/>
                <w:sz w:val="18"/>
                <w:szCs w:val="18"/>
                <w:highlight w:val="none"/>
                <w:u w:val="none"/>
                <w:lang w:val="en-US" w:eastAsia="zh-CN" w:bidi="ar"/>
              </w:rPr>
              <w:t xml:space="preserve">硬件套件：</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1、核心计算平台</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1.1处理器：高通® Snapdragon™ XR2 Gen 2以上</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1.2内存：</w:t>
            </w:r>
            <w:r>
              <w:rPr>
                <w:rFonts w:hint="eastAsia" w:ascii="宋体" w:hAnsi="宋体" w:cs="宋体"/>
                <w:i w:val="0"/>
                <w:color w:val="auto"/>
                <w:sz w:val="18"/>
                <w:szCs w:val="18"/>
                <w:highlight w:val="none"/>
                <w:u w:val="none"/>
                <w:lang w:val="en-US" w:eastAsia="zh-CN" w:bidi="ar"/>
              </w:rPr>
              <w:t xml:space="preserve">不低于</w:t>
            </w:r>
            <w:r>
              <w:rPr>
                <w:rFonts w:hint="eastAsia" w:ascii="宋体" w:hAnsi="宋体" w:eastAsia="宋体" w:cs="宋体"/>
                <w:i w:val="0"/>
                <w:color w:val="auto"/>
                <w:sz w:val="18"/>
                <w:szCs w:val="18"/>
                <w:highlight w:val="none"/>
                <w:u w:val="none"/>
                <w:lang w:val="en-US" w:eastAsia="zh-CN" w:bidi="ar"/>
              </w:rPr>
              <w:t xml:space="preserve">12GB LPDDR5</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1.3存储：</w:t>
            </w:r>
            <w:r>
              <w:rPr>
                <w:rFonts w:hint="eastAsia" w:ascii="宋体" w:hAnsi="宋体" w:cs="宋体"/>
                <w:i w:val="0"/>
                <w:color w:val="auto"/>
                <w:sz w:val="18"/>
                <w:szCs w:val="18"/>
                <w:highlight w:val="none"/>
                <w:u w:val="none"/>
                <w:lang w:val="en-US" w:eastAsia="zh-CN" w:bidi="ar"/>
              </w:rPr>
              <w:t xml:space="preserve">不低</w:t>
            </w:r>
            <w:r>
              <w:rPr>
                <w:rFonts w:hint="eastAsia" w:ascii="宋体" w:hAnsi="宋体" w:eastAsia="宋体" w:cs="宋体"/>
                <w:i w:val="0"/>
                <w:color w:val="auto"/>
                <w:sz w:val="18"/>
                <w:szCs w:val="18"/>
                <w:highlight w:val="none"/>
                <w:u w:val="none"/>
                <w:lang w:val="en-US" w:eastAsia="zh-CN" w:bidi="ar"/>
              </w:rPr>
              <w:t xml:space="preserve">256GB UFS 3.1</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1.4无线连接：Wi-Fi 7（支持 802.11 a/b/g/n/ac/ax/be），双频段 2.4GHz / 5GHz</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1.5蓝牙版本：Bluetooth 5.3</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1.6操作系统：</w:t>
            </w:r>
            <w:r>
              <w:rPr>
                <w:rFonts w:hint="eastAsia" w:ascii="宋体" w:hAnsi="宋体" w:cs="宋体"/>
                <w:i w:val="0"/>
                <w:color w:val="auto"/>
                <w:sz w:val="18"/>
                <w:szCs w:val="18"/>
                <w:highlight w:val="none"/>
                <w:u w:val="none"/>
                <w:lang w:val="en-US" w:eastAsia="zh-CN" w:bidi="ar"/>
              </w:rPr>
              <w:t xml:space="preserve">不低</w:t>
            </w:r>
            <w:r>
              <w:rPr>
                <w:rFonts w:hint="eastAsia" w:ascii="宋体" w:hAnsi="宋体" w:eastAsia="宋体" w:cs="宋体"/>
                <w:i w:val="0"/>
                <w:color w:val="auto"/>
                <w:sz w:val="18"/>
                <w:szCs w:val="18"/>
                <w:highlight w:val="none"/>
                <w:u w:val="none"/>
                <w:lang w:val="en-US" w:eastAsia="zh-CN" w:bidi="ar"/>
              </w:rPr>
              <w:t xml:space="preserve">Android 14</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2、显示系统</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2.1屏幕类型：不低于2.56英寸双路 SFR TFT 显示屏</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2.2分辨率：总分辨率 4320×2160，单眼分辨率 2160×2160</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3、摄像头系统</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3.1四目单色鱼眼相机：共4颗，分辨率 640×480 @60Hz，用于6DoF 空间定位与环境建图</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3.2双目 RGB 摄像头：2颗 3200 万像素高清相机，支持 MR 混合现实透视功能</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3.3 MR 深度摄像头：搭载 iTof（间接飞行时间）相机，实现高精度深度感知与空间理解</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4、交互方式</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4.1头部追踪：Inside-out方案，支持 6DoF 头部定位</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手柄控制器：配备6DoF 宽频触感手柄×2，支持高精度追踪与多级震动反馈</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4.2手势识别：支持双手 26 自由度追踪，内置 4 种常用手势模型，可自定义扩展</w:t>
            </w:r>
            <w:r/>
          </w:p>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5、接口8.3USB Type-C 接口：支持 USB 3.0 数据传输（需另购 USB 3.0 数据线，标配线为 USB 2.0）支持 OTG 扩展功能：输出供电能力为 5V/1A，可通过 USB 3.0 OTG 转接线连接外设LED 指示灯：三色 LED 灯，实时显示设备状态（开机、关机、充电中）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需包含《3D模型设计与制作》（64课时）：内容包含但不限于数字雕刻基础、多边形建模基础、道具资产高模制作、道具资产低模制作等内容。所有课程均包含理论课件、实践作业提纲、教学视频、案例素材、案例演示源文件等资源材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需包含《3D模型设计与制作》（64课时）：内容包含但不限于数字雕刻基础、多边形建模基础、道具资产高模制作、道具资产低模制作等内容。所有课程均包含理论课件、实践作业提纲、教学视频、案例素材、案例演示源文件等资源材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视觉艺术设计实训设备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平台系统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1.★AI绘画模型聚合：平台须聚合≥10个主流文生图/图生图模型，支持用户端动态切换模型，管理端统一启用/禁用。模型列表以投标人实际接入情况为准，提供模型的接入清单及相应的接入证明；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2.精细化参数控制：文生图须支持正向/反向提示词控制、（用云端模型的参数替代）。反向提示词须能精确排除不需要的生成元素。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主体一致性控制：须支持多图融合创作能力。系统须支持角色特征锁定功能，允许教师为赛项训练中的固定角色创建“角色特征模板”，学生可在后续创作中直接调用该模板，保持角色服装特征、身体特征、面部特征的一致性。</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参考图精准控制：须支持多种参考图类型控制，包括角色特征参考、人物长相参考、主体参考（支持2-4张参考图综合生成）、场景参考、风格参考，并支持参考图强度调节。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智能资源库：系统内置≥50个教学模板（海报、标志、VI系统、包装等）、≥500条分类提示词案例库（支持教师自定义扩充、按模态检索）、≥100个商用授权素材。资源库与AI绘画功能一键调用。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 世赛适配：系统须针对世界职业院校技能大赛视觉艺术设计赛项进行专项适配，内置赛项训练模块，支持标志设计、海报合成、品牌VI系统设计、包装展开图等全流程赛项训练任务。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作品社区：系统提供校内作品画廊，支持学生作品自动发布、点赞、评论、及个人作品集导出。</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硬件套件：</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1.机身框架 塑胶和钢材</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2.支持打印板类型 纹理 PEI 打印板、光面 PEI 打印板、增稳低温打印板、工程材料打印板</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3.热床支持最高温度 ≥120 ℃</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4.工具头最大移动速度不低于 1000 mm/s；工具头最大移动加速度 不低于20,000 mm/s²</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5.辅助热端支持耗材 PLA (不含发泡 PLA), PETG, ABS, ASA, AMS 专用 TPU, PET, PA, PC；PLA 支撑专用耗材, PLA/PETG 支撑专用耗材, ABS 支撑专用耗材, PA/PET 支撑专用耗材, PVA 水溶性支撑耗材；碳纤/玻纤增强: PLA、PETG、ABS、ASA、PA6、PAHT、PET</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6.屏幕 ≥5 英寸 1280*720 触摸屏</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存储 内置≥8 GB EMMC，支持外挂U盘</w:t>
            </w:r>
            <w:r/>
          </w:p>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7、操作界面 支持触摸屏、手机端应用、电脑端应用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(1)《AI绘画》（48课时）：内容包含但不限于AI绘画基础、AI绘画运用、AI绘画描述、AI绘画模型、AI绘画实例等内容。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(2)《原画设计》（80课时）：内容包含但不限于原画基础概念、原画基础设计、原画概念设计、原画进阶设计、原画创作设计等内容。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(3)所有课程均包含理论课件、实践作业提纲、教学视频、案例素材、案例演示源文件等资源材料。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云端算力支持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云端算力积分预充值：用于数字化产品设计与开发赛训套件、视觉艺术设计实训设备、智能视频生成系统及AIGC智能创作引擎云端API调用的算力积分预付，涵盖大语言模型≥13个、图像生成模型≥25个、视频生成模型≥19个、音乐生成模型≥3个、3D生成模型≥3个等云端API的调用消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服务期内（3年）云端算力积分总额度不低于50万积分；最多可完成（非并列）文案生成：3亿Token输入或1亿Token输出；图片生成：150000张；AI换装：30000张；视频生成/5s：8000个；3d模型生成：8000个；音乐生成：15000首；语音合成：4000万字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支持按课程/班级/学生的精细化额度分配管理；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提供积分消耗明细报表，支持多维度查询和统计；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 积分有效期与合同服务期同步，未使用积分可顺延至下一服务年度。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智能视频生成系统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AI视频模型聚合：系统须聚合≥5个文生视频/图生视频/动作控制模型，须同时包含国产模型主流模型，覆盖快速生成、高质量成片、首尾帧驱动、多图参考、角色动作控制等能力。模型列表以投标人实际接入情况为准</w:t>
            </w:r>
            <w:r>
              <w:rPr>
                <w:rFonts w:hint="eastAsia" w:ascii="宋体" w:hAnsi="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t xml:space="preserve">提供模型的接入清单及相应的接入证明。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2.文生视频能力：支持通过文本描述生成动态视频片段，单次生成基础时长≥15秒连贯叙事。支持自由设置运镜风格（推、拉、摇、移、跟拍、环绕等）。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3.★首尾帧平滑控制：支持以静态图像为基础生成动态视频，支持首尾帧平滑控制——用户可指定首帧和尾帧图像，系统自动生成中间过渡动画，帧间过渡无明显跳帧或突变。支持多图参考混合生成。</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4.多分辨率与多时长：须支持分辨率档位480p/720p/1080p/多档输出，生成时长档位5s/10s/15s档位设定，画面长宽比支持16:9/9:16/4:3/1:1，生成风格≥10种（含写实、动漫、赛博朋克、国风等）。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跨模型视频任务接力：系统须支持跨模型视频任务接力工作流。当一个视频生成模型无法完成特定创作需求时（如首尾帧平滑过渡效果欠佳、视频延长能力不足、特定镜头运镜难以实现），系统须支持将当前任务中间状态无缝迁移至另一个具备相应能力的视频模型继续处理。迁移过程须保持已生成部分的视频内容质量不衰减，最终输出合并为完整视频。提供跨模型接力工作流的技术实现方案说明，验收时须对至少两种不同架构的AI视频模型进行接力工作流现场演示验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6.并发处理：支持多任务并行提交，任务状态通过Socket.IO实时推送到客户端，支持任务取消、重试、进度百分比查看。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7.输出格式：支持MP4等主流视频格式导出，支持按任务独立下载。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课程套件：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《数字资产全流程制作实践》</w:t>
            </w:r>
            <w:r>
              <w:rPr>
                <w:rFonts w:hint="eastAsia" w:ascii="宋体" w:hAnsi="宋体" w:eastAsia="宋体" w:cs="宋体"/>
                <w:i w:val="0"/>
                <w:color w:val="auto"/>
                <w:sz w:val="18"/>
                <w:szCs w:val="18"/>
                <w:highlight w:val="none"/>
                <w:u w:val="none"/>
                <w:lang w:val="en-US" w:eastAsia="zh-CN" w:bidi="ar"/>
              </w:rPr>
              <w:t xml:space="preserve">（42课时）：内容包含但不限于美术资产制作流程、分工及规范，角色裸模及皮肤制作、发型模型材质贴图制作、角色服装、服装材质贴图、角色模型资产输出、主建筑模型、物件模型、场景材质贴图、场景模型资产输出、角色绑定（低模）、角色动画（低模）、角色绑定（中高模）、角色动画（中高模）、动画资产输出地形搭建、布局及素材运用、灯光布局、机位及运镜设置、角色场景资产导入、材质效果调整、片头片尾制作、转场及特效制作、素材资产剪辑、合成输出视频；所有课程均包含理论课件、实践作业提纲、教学视频、案例素材、案例演示源文件等资源材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AIGC智能创作引擎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引擎基础功能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自定义模型接入与管理：平台须支持用户通过API Key和模型接入点URL的方式自行配置和接入符合用户需求的生成式人工智能模型。平台提供标准的API接入规范，用户可在平台后台管理界面填写模型名称、API Key、模型接入点URL等参数后完成接入配置，接入后的模型自动纳入平台的统一调度体系，支持用户端动态切换。平台不负责对用户自行接入的模型进行备案审查，用户须自行确保所接入模型符合国家相关法律法规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流式输出：所有模型响应须支持SSE流式逐字输出，首字响应延迟≤200ms，支持Markdown实时渲染，代码块语法高亮支持≥15种编程语言。</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 多轮对话管理：支持按时间段（当日/昨日/近7天/更早）智能分组展示，支持对话分组的关键词检索、新建、删除、重命名。支持消息终止生成、重新生成、复制、点赞/点踩。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 API负载均衡：系统须支持多API Key池化负载均衡，支持按累计使用次数与最近使用时间轮询调度，单Key支持独立配置启用/禁用状态及权重系数。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统一API协议适配与参数自动映射：平台须支持对异构AI模型的统一API封装，内置协议适配层，兼容RESTful、gRPC、WebSocket等多种通信协议，实现不同厂商模型API的差异化接口统一封装。具体包括：请求参数的自动格式映射（将平台通用参数自动转换为各模型的特定输入格式），以及响应结果的标准化解析。提供至少三家主流模型厂商API的协议适配方案说明，并承诺在交付验收时对至少五类不同模态的AI模型API完成协议适配验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多模型统一调度与智能路由：平台须提供统一API网关，内置智能路由引擎，支持“成本优先”、“质量优先”和“均衡优先”三种调度策略，系统可根据用户场景自动或手动切换调度策略。当某模型实例出现超时、限流或服务异常时，平台须支持秒级自动切换至备用模型实例或同类型等效模型，确保教学业务连续性不中断。</w:t>
            </w:r>
            <w:r>
              <w:rPr>
                <w:rFonts w:hint="eastAsia" w:ascii="宋体" w:hAnsi="宋体" w:cs="宋体"/>
                <w:i w:val="0"/>
                <w:color w:val="auto"/>
                <w:sz w:val="18"/>
                <w:szCs w:val="18"/>
                <w:highlight w:val="none"/>
                <w:u w:val="none"/>
                <w:lang w:val="en-US" w:eastAsia="zh-CN" w:bidi="ar"/>
              </w:rPr>
              <w:t xml:space="preserve">提供软件功能截图证明</w:t>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 跨模态智能路由：平台须支持跨模态路由能力。当系统接收到AI创作请求时，智能路由引擎须自动判断任务类型（文生图/图生图/文生视频/图生视频等），并根据预设策略将任务自动路由至最适合完成该任务的模型。路由策略须支持自定义配置，允许教师根据教学需要为不同任务类型指定默认模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 异步任务队列：系统须基于异步任务队列架构，按功能模块建立独立队列（chat/draw/video/music/3d等≥6个），各队列并发度、重试次数、退避策略可独立配置。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 内容安全审核：系统须内置≥5000条敏感词库（覆盖政治、色情、暴力、违法、广告等类别），支持数据库动态增量同步。设置三级分级管控策略：HIGH级直接拒绝并记录违规日志、MEDIUM级须用户确认后继续、LOW级页面标签提示。覆盖文本审核与图片审核双重模态，执行生成前预检与生成后复核双重审核流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 精细化算力成本与积分池治理：平台须支持全链路Token消耗的实时精准计量。用户发起API调用时，平台自动记录调用时间、消耗积分、调用模型、任务类型等数据，积分池余额变更时延≤1分钟。须支持按院系/课程/班级的精细化配额管理，系统管理员可设定各层级的积分上限（日/周/月度），当额度达到阈值时自动触发预警提醒。须提供积分消耗明细报表的多维度检索及数据导出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 数据驾驶舱：平台提供数据驾驶舱，包含运营总览（用户数、日活、月活、各功能模块使用量排行）、教学行为分析（学生使用频率、模型偏好、创作量趋势）、资源使用分析（积分消耗分布、API调用统计、各模型调用成功率）、教学效果评估（成绩分布、作业完成率）。所有维度支持图表可视化展示及数据导出，且须支持按时间范围（日/周/月/学期）自定义筛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 教学管理子系统：系统提供课程创建与编排、作业在线发布与批改、班级管理、积分额度精细化管理（按课程/班级分配初始额度，自动记录各模块消耗）。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 附件上传：支持对话中上传图片与文档附件（支持PDF、Word、TXT等格式）。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 作品社区：支持作品自动发布至校内作品画廊，支持点赞、评论、及个人作品集导出。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 并发性能：系统须支持≥120名学生同时在线进行AI创作实训，主流创作任务响应延迟≤10秒。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bl>
    <w:p>
      <w:pPr>
        <w:jc w:val="center"/>
        <w:spacing w:line="40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五标段</w:t>
      </w:r>
      <w:r>
        <w:rPr>
          <w:rFonts w:hint="eastAsia" w:ascii="宋体" w:hAnsi="宋体" w:cs="宋体"/>
          <w:b/>
          <w:bCs/>
          <w:color w:val="auto"/>
          <w:szCs w:val="21"/>
          <w:highlight w:val="none"/>
          <w:lang w:eastAsia="zh-CN"/>
        </w:rPr>
        <w:t xml:space="preserve">：金融实训设备</w:t>
      </w:r>
      <w:r/>
    </w:p>
    <w:p>
      <w:pPr>
        <w:numPr>
          <w:ilvl w:val="0"/>
          <w:numId w:val="13"/>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采购清单：</w:t>
      </w:r>
      <w:r/>
    </w:p>
    <w:tbl>
      <w:tblPr>
        <w:tblStyle w:val="955"/>
        <w:tblW w:w="10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857"/>
        <w:gridCol w:w="765"/>
        <w:gridCol w:w="780"/>
        <w:gridCol w:w="1965"/>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7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9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单价最高限价（元）</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智能化成本核算与管理智慧平台</w:t>
            </w:r>
            <w:r/>
          </w:p>
        </w:tc>
        <w:tc>
          <w:tcPr>
            <w:shd w:val="clear" w:color="auto" w:fill="auto"/>
            <w:tcW w:w="76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套</w:t>
            </w:r>
            <w:r/>
          </w:p>
        </w:tc>
        <w:tc>
          <w:tcPr>
            <w:shd w:val="clear" w:color="auto" w:fill="auto"/>
            <w:tcW w:w="196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180000</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大数据会计赛训一体化平台</w:t>
            </w:r>
            <w:r/>
          </w:p>
        </w:tc>
        <w:tc>
          <w:tcPr>
            <w:shd w:val="clear" w:color="auto" w:fill="auto"/>
            <w:tcW w:w="7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6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118000</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585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大数据技术竞赛硬件支撑及训练平台</w:t>
            </w:r>
            <w:r/>
          </w:p>
        </w:tc>
        <w:tc>
          <w:tcPr>
            <w:shd w:val="clear" w:color="auto" w:fill="auto"/>
            <w:tcW w:w="7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65"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198000</w:t>
            </w:r>
            <w:r/>
          </w:p>
        </w:tc>
      </w:tr>
    </w:tbl>
    <w:p>
      <w:pPr>
        <w:numPr>
          <w:ilvl w:val="0"/>
          <w:numId w:val="13"/>
        </w:numPr>
        <w:contextualSpacing/>
        <w:ind w:left="420" w:hanging="420"/>
        <w:spacing w:line="400" w:lineRule="exact"/>
        <w:tabs>
          <w:tab w:val="left" w:pos="420" w:leader="none"/>
        </w:tabs>
        <w:rPr>
          <w:rFonts w:hint="eastAsia" w:ascii="宋体" w:hAnsi="宋体"/>
          <w:color w:val="auto"/>
          <w:szCs w:val="21"/>
          <w:highlight w:val="none"/>
        </w:rPr>
      </w:pPr>
      <w:r>
        <w:rPr>
          <w:rFonts w:hint="eastAsia" w:ascii="宋体" w:hAnsi="宋体"/>
          <w:color w:val="auto"/>
          <w:szCs w:val="21"/>
          <w:highlight w:val="none"/>
        </w:rPr>
        <w:t xml:space="preserve">详细技术参数、指标要求：</w:t>
      </w:r>
      <w:r/>
    </w:p>
    <w:tbl>
      <w:tblPr>
        <w:tblStyle w:val="955"/>
        <w:tblW w:w="10056"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711"/>
        <w:gridCol w:w="915"/>
        <w:gridCol w:w="7140"/>
        <w:gridCol w:w="630"/>
        <w:gridCol w:w="660"/>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lang w:val="en-US" w:eastAsia="zh-CN"/>
              </w:rPr>
              <w:outlineLvl w:val="9"/>
              <w:suppressLineNumbers w:val="0"/>
            </w:pPr>
            <w:r>
              <w:rPr>
                <w:rFonts w:hint="eastAsia" w:ascii="宋体" w:hAnsi="宋体" w:eastAsia="宋体" w:cs="宋体"/>
                <w:i w:val="0"/>
                <w:color w:val="auto"/>
                <w:sz w:val="18"/>
                <w:szCs w:val="18"/>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4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rPr>
              <w:t xml:space="preserve">详细技术参数、指标要求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left"/>
              <w:keepLines w:val="0"/>
              <w:keepNext w:val="0"/>
              <w:pageBreakBefore w:val="0"/>
              <w:widowControl/>
              <w:rPr>
                <w:rFonts w:hint="eastAsia" w:ascii="宋体" w:hAnsi="宋体" w:eastAsia="宋体" w:cs="宋体"/>
                <w:b/>
                <w:i w:val="0"/>
                <w:color w:val="auto"/>
                <w:sz w:val="18"/>
                <w:szCs w:val="18"/>
                <w:highlight w:val="none"/>
                <w:u w:val="none"/>
              </w:rPr>
              <w:outlineLvl w:val="9"/>
              <w:suppressLineNumbers w:val="0"/>
            </w:pPr>
            <w:r>
              <w:rPr>
                <w:rFonts w:hint="eastAsia" w:ascii="宋体" w:hAnsi="宋体" w:eastAsia="宋体" w:cs="宋体"/>
                <w:b/>
                <w:i w:val="0"/>
                <w:color w:val="auto"/>
                <w:sz w:val="18"/>
                <w:szCs w:val="18"/>
                <w:highlight w:val="none"/>
                <w:u w:val="none"/>
                <w:lang w:val="en-US" w:eastAsia="zh-CN" w:bidi="ar"/>
              </w:rPr>
              <w:t xml:space="preserve">智能化成本核算与管理智慧平台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4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一、总体技术指标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1.平台基于企业级分布式架构开发，具有较强的可伸缩性、灵活性、易维护性；并遵循RESTful API设计原则，开放提供专有与标准两类OpenAPI。</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2.平台支持公有云、专属云、私有云基本部署模式，能根据学校具体情况灵活调整部署方案。</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平台基于SOA面向服务架构思想设计，实现前后端分离架构；后端采用Controller/Service/DAO/Entity四层架构，整体设计清晰；前端基于业内主流框架构建，实现数据与结构分离，最大限度提高浏览器页面加载与响应速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平台采用关系型数据库、NoSQL非关系型数据、文件系统三者结合并用的数据存储设计方案，全面保障用户数据的安全性与可靠性。关系型数据库实现数据持久化，支持多线程与事务处理，满足多用户高并发的使用场景；NoSQL非关系型数据库实现数据缓存，提高平台业务处理的效率，加快用户请求响应的速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5.平台及服务可部署在Windows或Linux系统服务器，支持分布式集群部署，可根据教学需要进行动态的横向扩展，提高系统处理能力，满足学校大规模用户并发的教学应用场景。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6.平台兼容基于Chromium内核的主流浏览器，无需安装任何客户端或插件；并通过加密校验机制保证浏览器客户端与平台服务端之间的数据传输安全，有效保障用户数据的安全。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7.平台提供严格的权限管理功能，包括功能权限管理和数据访问权限管理，通过简单的配置实现权限划分的调整，不可非法访问受限资源。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8.平台搭载日志管理系统，满足问题追踪、状态监控、安全审计平台安全要求，提供完整的审计日志，实现操作的可追溯。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9.平台满足国产化信创认证要求，确保在国产化环境中能够稳定运行，可部署于麒麟国产操作系统，兼容达梦国产数据库。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10.平台集成大语言模型的AI能力，为教学及管理功能提供智能化支持。该功能需确保服务器与客户端均具备外网访问权限，以保障相关服务的稳定运行与实时响应。</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二、平台功能指标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（一）学习中心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提供至少包含8个核心教学项目，35个以上子项目。这8个核心教学项目应全面覆盖实务中企业成本管理的全流程，包括智能化成本管理认知、生产费用的归集与分配、产品成本的核算、成本报表编制与分析、成本预测与决策、成本控制与考核、智能化信息系统应用、典型行业成本管理与最佳业务实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要求平台提供知识图谱学习模式，支持查看课程知识图谱，查看知识点节点与关联关系，可切换展示全局全部知识点图谱；并支持画布拖拽缩放、节点拖拽自定义布局操作；支持选中单个节点且高亮与该节点相关的节点，支持搜索知识点定位并高亮节点，并支持通过知识点标签、知识点层级、认知领域六层次、知识四维度进行高级搜索。</w:t>
            </w:r>
            <w:r/>
          </w:p>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要求平台提供智能信息系统应用实践项目，以企业级ERP为实训载体，系统包含系统配置、主数据、制造管理、库房管理、订单与合同（采购/销售）、应收应付、固定资产、子分类账管理、成本管理、总账管理模块，各业务模块数据相互关联、衔接。通过模拟一家LED照明企业真实的经营数据，从主数据维护与初始化开始，到物料需求分解、采购与委外管理、生产与销售管理、费用归集与分配、智能成本月结的全流程，让学生在了解智能化信息系统中各业务模块数据流转逻辑的同时，理解智能化信息系统如何实现智能成本核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4.要求平台提供适配成本分析的Power BI动态模拟案例，对企业计划成本与实际成本深入分析，通过生产计划完成率、产品合格率、超支/节约比例、超支阀值等维度对计划成本完成情况进行分析，以及实际成本结构分析、单位实际成本与计划成本比较分析，分析企业产品成本变化情况；并通过产品主要原材料价格变动对产品成本的影响进行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要求平台提供基于SQL的成本报表设计教学项目，实验按由易到难进行设计，内容至少涉及成本报表设计、成本分析。利用SQL数据库创建成本分析表、并使用SQL对成本分析表中的数据进行查询、统计、插入、运算、排序等处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要求平台提供制造业与种植业虚拟仿真3D场景，支持分节点分步骤操作，学生虚拟业务场景中，处理业务相关仿真单据，单据真实还原现实社会工作、生活中的业务单据；单据格式及内容均来源于现实企业、商户等经营活动中的真实纸质或电子表单，且纸质表单满足多联次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要求平台集成数据库开发环境，无需本地安装，用户可直接通过浏览器使用内嵌的SQL编程开发工具，进行SQL代码的编写、调试与运行，完成数据表创建及数据表结构修改操作；支持在当前页面查看预览数据库的数据内容；以数据模型的特征主键作为数据索引，从数据库中提取数据内容，通过二维表结构呈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要求平台集成ERP信息化系统，包含主数据管理、制造管理、订单合同管理、库房管理、应收应付管理、固定资产管理、成本管理、子分类账管理、总账管理模块，用户执行业务事项发生时会自动触发生成凭证，实现业务与财务的一体化核算，并且每一笔凭证都可以一键追溯到业务端；并支持企业根据实际业务定制工艺及工艺路线，设置工艺归属工作中心、前置期及工艺顺序，并设置直接人工、设备折旧工序资源，结合外购成本差异计算、委外成本计算与订单成本结算，满足多种生产流程的成本核算需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（二）智慧课堂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1.班级公告：要求平台支持教师发布班级公告，学生可查看教师发布的班级公告内容。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2.考勤打卡：要求平台支持教师发布考勤打卡，学生可根据考勤方式要求完成考勤签到，签到后可查看自己签到具体时间。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随堂活动：要求平台支持下列功能（1）随堂练习：学生可查看教师发布的随堂练习，完成作答并提交；（2）随堂课件：学生可查看教师发布的自定义课程资源，支持PDF文档或MP4视频浏览；（3）问卷调查：学生可查看教师发布的问卷调查，完成问卷题目并提交；（4）头脑风暴：学生可查看教师发布的头脑风暴时，完成作答并提交；（5）分组任务：学生可查看教师发布的分组任务时，完成作答并提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4.学习工具：要求平台支持学习笔记、错题集及收藏夹功能（1）学生可对课程中课件、视频、</w:t>
            </w:r>
            <w:r>
              <w:rPr>
                <w:rFonts w:hint="eastAsia" w:ascii="宋体" w:hAnsi="宋体" w:eastAsia="宋体" w:cs="宋体"/>
                <w:i w:val="0"/>
                <w:color w:val="auto"/>
                <w:sz w:val="18"/>
                <w:szCs w:val="18"/>
                <w:highlight w:val="none"/>
                <w:u w:val="none"/>
                <w:lang w:val="en-US" w:eastAsia="zh-CN" w:bidi="ar"/>
              </w:rPr>
              <w:t xml:space="preserve">实训资源进行学习笔记；且系统内置笔记管理应用，支持笔记本、笔记及笔记标签管理，可查阅笔记内容并通过笔记来源链接打开课程资源；同时支持新建常规笔记、思维导图笔记，从模板创建康奈尔笔记、麦肯锡笔记，并支持将常规笔记、康奈尔笔记、麦肯锡笔记导出另存为本地Word，将思维导图笔记导出另存为本地图片；（2）学生可对课程中课件、视频、实训、练习习题资源进行收藏操作，并可在收藏夹中根据项目任务筛选已收藏资源；（3）学生在练习中作答有误的题目系统自动纳入错题集，学生可在错题集中根据项目任务筛选错题，并查看做题详情便于复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5.学习时长与进度：要求平台支持统计学生的课程学习时长，及已完成学习的章节、项目任务数量，提供直观的学情数据反馈，从而助力学生及时调整学习节奏，提升学习效率。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AI伴学数字人：要求平台提供基于大语言模型的3D动态数字人AI助手，支持对会计准则、税务处理、财务分析、审计实务等领域的提问进行实时解答；可语音播报解答，回答时同步呈现自然口型动作；并提供“深度思考模式”选项，启用后将逐步展示其推理过程与思考内容，虽然回答时间会相应延长，但有助于提升解答的条理性和逻辑深度，满足不同场景下的问答需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（三）成绩分析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评价管理中心：要求平台支持学生查看学习中心成绩，内容包括教学进度、学习进度、学习进度详情、成绩统计分析。可按项目目录或课程资源类型查看学习内容的完成情况，可进一步查看各个项目下明细学习内容完成情况，包括但不限于课件浏览状态、视频学习完成状态、练习习题完成状态、实训完成状态；按课程项目目录统计出学生在各个项目中的得分以及正确率（单项百分制成绩）相关数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学习报告：要求平台支持学生查看学习报告，报告内容包括在线学习时长、已学习项目个数、当前课程成绩得分与构成；并查看各个项目学习完成进度、成绩得分、班级平均分，查看各种题型成绩得分、班级平均分；了解教师评价与学习指导建议，并填写个人学习总结；报告支持下载为本地文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（四）教学管理模块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课程备课：要求平台支持教师预览课程全部内容，以学生身份查看课件、微课视频教学资源；预览案例内容与案例配套的习题内容，并支持预览习题答案与解析；预览实验内容，让教师提前了解该章节内容的重点、难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教学设置：要求平台支持教师根据教学计划，针对教学班设置课程内容锁定与开放状态，锁定下的项目学生无法进入学习；支持教师设置学习权限，分允许随时查看答案、不允许查看答案及提交后查看答案三种权限；支持教师根据课程考核方案，针对教学班设置项目分值权重，系统根据教师设置的项目权重对学生课程总成绩进行加权计算，便于教师灵活调整教学考核方案。</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3.学生做题重置：要求平台支持教师按项目与学习任务重置学生做题数据，允许学生重新答题或实验。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4.课程资源管理：要求平台支持教师上传自己的课件：包括PDF文档和MP4视频；支持教师自行出题、上传随堂练习：包括单选、多选、判断、填空题型。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w:t>
            </w:r>
            <w:r>
              <w:rPr>
                <w:rFonts w:hint="eastAsia" w:ascii="宋体" w:hAnsi="宋体" w:eastAsia="宋体" w:cs="宋体"/>
                <w:i w:val="0"/>
                <w:color w:val="auto"/>
                <w:sz w:val="18"/>
                <w:szCs w:val="18"/>
                <w:highlight w:val="none"/>
                <w:u w:val="none"/>
                <w:lang w:val="en-US" w:eastAsia="zh-CN" w:bidi="ar"/>
              </w:rPr>
              <w:t xml:space="preserve">教学互动管理：要求平台支持下列功能（1）问卷调查：创建并设置问卷时间期限，添加单选、多选及简答类型问卷题目并发布，可实时查看问卷提交名单及问卷题目数据；（2）头脑风暴：创建并设置头脑风暴时间期限，录入头脑风暴主题并发布，可实时查看学生提交内容；（3）分组任务：创建并设置分组任务时间期限，设置分组学生并发布；（4）考勤打卡：创建并设置考勤时间期限，选择传统考勤、数字考勤、手势考勤及二维码考勤4种方式之一并发布，可实时查看学生出勤状态与考勤打卡时间；（5）班级公告：创建并设置公告内容，可选择实时发送或定时发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6.成绩统计分析：要求平台支持下列功能（1）总成绩报告：展示课程教学基础信息，含实习周期、学生人数、参与人数、平均分及优秀率</w:t>
            </w:r>
            <w:r>
              <w:rPr>
                <w:rFonts w:hint="eastAsia" w:ascii="宋体" w:hAnsi="宋体" w:eastAsia="宋体" w:cs="宋体"/>
                <w:i w:val="0"/>
                <w:color w:val="auto"/>
                <w:sz w:val="18"/>
                <w:szCs w:val="18"/>
                <w:highlight w:val="none"/>
                <w:u w:val="none"/>
                <w:lang w:val="en-US" w:eastAsia="zh-CN" w:bidi="ar"/>
              </w:rPr>
              <w:t xml:space="preserve">数据，通过图表统计班级学生成绩分布与分项目成绩分析；（2）学员成绩分析：支持通过列表统计学生各个项目得分、总分及排名；在实习报告中展示学习时长、学习项目个数、课程成绩得分与构成，按项目与题型两种维度显示成绩得分及班级平均分，并展示AI能力画像，通用学员知识点掌握情况，体现从基础素养到实践技能的各种能力评估结果；（3）项目成绩分析：支持通过列表统计各个项目平均成绩，树形菜单展开各个任务平均成绩；并追踪学生具体得分；（4）成绩统计导出：支持导出班级成绩分析报告与明细学生成绩单，并支持批量生成学生实习报告并下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定义创建教学成果驾驶舱：要求平台内嵌自主BI系统，提供课程项目、教学班学生、学生课程成绩数据源，支持教师利用BI系统对学生的学习情况展开多维度的教学分析，包括但不限于学习时间趋势分析、成绩分布分析；并支持通过将可视化图表添加进智能驾驶舱，同屏展示多维度分析图表。</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（五）AI智教模块（提供400万tokens用量）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1.智能出题：</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支持左右双功能区操作，左侧为条件设置区，支持根据材料、题目或知识点三种出题方式，可灵活设置单选题、多选题、判断题、填空题和问答题的数量。难易程度选项包括简单、中等、困难和不限。右侧为AI出题结果展示区，用户可以一键复制所有题目内容，操作便捷高效。</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2.智能课程设计：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支持左右双功能区操作，左侧为条件设置区，根据课程名字、专业年级、课程定位内容触发AI大模型的精准学习过程，右侧为AI课程设计结果展示区，用户可以一键复制所有课程设计内容，也可以再次触发AI优化。</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3.智能教学大纲：</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（1）要求平台根据课程名称、教学对象、课程对应毕业要求指标点、课程对应岗位职能和技术标准，AI生成包括课程目标、课程子目标、对应课程内容和对应毕业要求的表格内容。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（2）★要求平台支持知识库中选择讲义，根据AI提取的章节内容、输入的教学方法和课程学时，AI生成包括教学目标、教学重点、教学难点、每一节教学内容、教学方法、教学评价、对应学时的每一章教学内容。</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要求平台根据从讲义中AI提取课程目标和输入考核方法，AI自动生成包括课程考核与课程目标对应关系、课程目标的考核占比与达成度分析、课程学习目标与评分标准的对应关系三个表格内容，并可导出为可编辑的Word文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4.智能教案设计：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支持从知识库中选择讲义，通过AI的分解技术，自动解析教学课题和内容，同时根据教学对象、教学方法，AI生成包括知识基础、认知能力、学习特点、专业特性的学情分析，生成包括知识与技能、过程与方法、情感态度与价值观的教学目标，生成教学重难点、教学策略，生成教学资源、教学用具、教学环境、教学媒体教学准备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（2）要求平台根据课程对应的课时、课堂导入、教学过程、课堂小结、课后作业内容，AI生成教学过程表格，内容包括环节、教学内容、教师活动、学生活动、设计意图 、时长、作业布置内容，生成包括成功之处、不足之处、改进策略的教学反思内容。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5.智能教学PPT生成：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（1）要求平台支持根据输入制定内容主题、输入文本、上传文件、输入网址、导入大纲形式生成PPT大纲内容，支持在上方新增同级大纲内容或者删除大纲内容。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要求平台支持内置PPT模版，包括扁平简约、商务科技、文艺清新、卡通手绘、中国风、创意时尚、创意趣味风格，选择某个模版AI自动生成PPT内容，生成的PPT内容还支持线上再次编辑，添加标准字体或艺术字、插入各种形状的图形、插入图片、音乐、影片、条形图、饼状图、环形图、折线图，更换模版和主题、支持线上播放和导出PPT。</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6.智能教学实训票据制作：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AI自动制单包含输入业务信息、选择单据类型、自动生成单据三个交互界面，引导用户利用AI生成经济业务对应的原始凭证，同时支持凭证一键截图功能。AI根据用户输入的经济业务内容，智能推荐对应的单据类型。推荐结果以图像形式排列，用户可查看并确认选择的单据类型。支持对推荐的单据类型进行修改，用户可通过删除键或新增键修改对应单据类型。</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（2）要求平台支持AI根据用户确认的单据类型和输入的经济业务信息，自动编制原始凭证。编制过程中，AI会对信息进行智能解析和格式化，确保单据内容的准确性和规范性。</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要求平台AI生成单据类型包含出库单、付款申请书、固定资产验收单、入库单、收料单、银行电子回单、进账单、现金支票、银行单据回单、转账支票、电子发票（普通发票）、电子发票（增值税专用发票）、提现申请单、销售单单据类型。</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7.智能财务分析：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支持AI行业财务分析，按三级行业分类，勾选单个或多个需要分析的财务指标，设置分析起止年份及统计信息维度，如最大值、最小值、均值、分位数，系统通过专业财务模型与算法，生成行业财务指标分析数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要求平台支持AI企业财务分析，通过三级行业分类筛选并选择某一个上市企业，设置分析起止年份及统计信息维度，系统通过财经大模型，生成深度解读财务分析报告；并支持历史分析报告查看及导出下载为本地文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（六）其他教学辅助：线上课程资源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 根据实际需求，提供线上会计第一课视频课程资源学习账号，使用期一年，课程至少包括《职业篇》、《专业篇》、《考证篇》等三篇内容，视频总时长不少于400分钟。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 课程学习模块支持教师自行创建课程，可以自建一门独立课程。教师可根据需要对课程内容进行维护，支持用户引用各级各类资源搭建和重组课程；内容包括：课程介绍，章节内容，库管理，教师团队管理；可以统计该课程的使用情况和内容的详细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3.课程内容：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职业篇》须要以财会类专业学生未来可能从事的职业，融国家战略、行业发展和职业精神角度出发，引导学生树立远大的职业理想，鼓励学生深入社会实践、关注现实问题，培育学生经世济民、诚信服务、德法兼修的职业素养。</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专业篇》须要以财会类专业的知识结构、学科特点、课程体系、学习方法和发展趋势，让学生充分认识、科学认知自己所学的专业，并通过职业认同引导、职业理想树立，引导学生深入思考、激发学生向学的热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考证篇》须要从职业方向出发，围绕职业特点、从业要求、考试内容、备考方法等，介绍财会类专业学生未来职业生涯可能需要的资格认证，引导学生知识、技能、能力、素养四位一体综合学习，培养学生遵纪守法、爱岗敬业、无私奉献、诚实守信、公道办事、开拓创新的职业品格和行为习惯，为未来职业人生做好充分准备，并激励学生持续学习、终生学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left"/>
              <w:keepLines w:val="0"/>
              <w:keepNext w:val="0"/>
              <w:pageBreakBefore w:val="0"/>
              <w:widowControl/>
              <w:rPr>
                <w:rFonts w:hint="eastAsia" w:ascii="宋体" w:hAnsi="宋体" w:eastAsia="宋体" w:cs="宋体"/>
                <w:b/>
                <w:i w:val="0"/>
                <w:color w:val="auto"/>
                <w:sz w:val="18"/>
                <w:szCs w:val="18"/>
                <w:highlight w:val="none"/>
                <w:u w:val="none"/>
              </w:rPr>
              <w:outlineLvl w:val="9"/>
              <w:suppressLineNumbers w:val="0"/>
            </w:pPr>
            <w:r>
              <w:rPr>
                <w:rFonts w:hint="eastAsia" w:ascii="宋体" w:hAnsi="宋体" w:eastAsia="宋体" w:cs="宋体"/>
                <w:b/>
                <w:i w:val="0"/>
                <w:color w:val="auto"/>
                <w:sz w:val="18"/>
                <w:szCs w:val="18"/>
                <w:highlight w:val="none"/>
                <w:u w:val="none"/>
                <w:lang w:val="en-US" w:eastAsia="zh-CN" w:bidi="ar"/>
              </w:rPr>
              <w:t xml:space="preserve">大数据会计赛训一体化平台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4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一、总体技术指标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1.要求平台为B/S网络版，兼容主流浏览器，学生电脑直接通过网页访问使用，无用户数量限制，方便所有相关专业学生使用。平台支持互联网应用模式，可7*24小时使用。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2.要求使用主流数据库：MySQL5.7，按业务需要支持横向扩展，支持分库、分表、读写分离等操作。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3.软件基于JAVA J2EE技术开发，三层式架构，实现高可用性、安全性、可扩展性和可靠性。既可运行在windows操作系统，也可以运行在 unix 、 linux 等操作系统上。</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4.要求系统应用采用MVC架构，展现层通过HTML实现；控制层通过Controller实现；模型层通过Java标准类来实现；与数据库的连接采用对JDBC进行轻量级封装的DAO提供的接口；并采用ajax局部刷新技术提高操作体验。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要求系统所有操作通过LogBack记录操作日志；层与层之间关联采用松耦合框架技术实现业务。以业务模型为中心，实现数据、业务逻辑和展现分离；通过对业务的统筹分组达到系统的模块化和可配置化；通过对系统不同层次的管理增强了系统的稳定性、兼容性。</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二、赛务端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支持管理员在此模块对竞赛及实训操作的后台进行基本设置，模块具备比赛管理、考场监控、竞赛试卷管理、选手管理、教师管理、系统管理、修改密码、系统帮助、退出系统等功能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1.比赛管理功能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1.1新增比赛</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（1）★要求新增比赛时，支持对比赛的名称、比赛模式（竞赛/练习）、单据整理模式（扫描/系统整理）、角色模式（多人分岗/一人多岗）以及竞赛方式（团队/个人）进行设置。</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（2）比赛模式设置成练习模式时，在每个任务完成后支持查看答案和解析，方便比对结果。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角色模式设置成一人多岗时，支持单个人在平台内随意切换不同角色进行实训操作，便于熟悉不同岗位实训任务；角色模式设置成多人分岗模式时，每位选手只能操作自己所属角色对应的任务，支持各岗位分工协作完成所有任务，该模式有利于培养团队协作精神，通过两种模式满足学生不同的实训需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1.2编辑比赛</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支持修改已有比赛的比赛名称、比赛模式、单据整理模式。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1.3场次管理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（1）在场次管理中，支持新增场次，设置场次名称、比赛起止时间，是否IP筛选，是否PK场次，是否显示成绩，竞赛试卷是通过选择还是导入方式等操作。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（2）★比赛开始时间支持按固定时间开启和现场动态开启两种操作方式，比赛起止时间设置灵活便捷。</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（3）对于比赛或者实训结束后是否要让学生看到自己的成绩，支持对成绩显示进行设置。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1.4竞赛成绩查询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支持查看本场次各代表队的竞赛总成绩，同时支持查看各代表队各岗位各任务的详细得分情况，方便分析学生对知识点的掌握情况，还可以强制学生结束竞赛。</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1.5比赛成绩分析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要求可查看本场比赛每个任务题的最高分、最低分、平均分信息及试题成绩分布情况，方便在各参赛队选手之间进行相同任务做题结果的对比分析。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1.6 IP筛选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支持对比赛场次登录的IP进行设置，防止作弊。</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1.7 ★补时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比赛过程中出现意外状况时，支持在比赛时间结束后进行补时操作。</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1.8实时成绩显示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支持对学生做题结果实时判分，实时显示竞赛过程当前时间点各代表队得分情况、总成绩排名前十队伍、题目完成率排名前十队伍以及可直接对比各团队中相同角色的得分情况。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1.9最终分数统计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要求以表格形式显示各选手的最终分数，同时支持导出团体和各个岗位的成绩，并且进行排名设置，方便统计各选手的得分情况。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2.考场监控功能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（1）要求可以查看当前日期包含的比赛场次，开始时间、结束时间。对于其中的某个场次支持“按登录时间排序”、“按选手排序”和“按IP排序”等方式查阅。</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（2）比赛或实训中出现因学生误操作提早结束竞赛的情况时，支持“时间重置”操作，恢复为继续比赛状态，同时要求系统保留学生做题数据。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（3）比赛或实训中因选手操作失误出现角色丢失的情况时，支持通过“重置题目角色”来找回丢失的角色。</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3.竞赛试卷管理功能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支持教师选择要模拟的试卷以及对之前的模拟记录进行清除操作。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4.选手管理功能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要求提供便捷的用户管理系统，可通过EXCEL表格批量导入学生账号信息，也可以按系统规则快速批量生成学生账号信息，方便老师教学使用。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5.教师管理功能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支持新增或者删除教师，设置教师权限以及登录密码。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6.系统管理功能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支持学生在结束竞赛后查看做题结果以及结束后重置做题数据（重置做题会清空原有的做题数据，重新练习）的设置，支持双屏操作设置等。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6.1双屏模式：支持做题区域和背景区域在多屏显示，方便学生操作。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7.系统帮助功能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要求平台内置系统操作说明，方便快速掌握平台功能。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三、学生端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支持学生通过该模块进行竞赛或实训操作，主要包括比赛场次区、主窗口区、任务区、材料区及其他功能等。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1.比赛场次区功能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要求可以查看多场同时进行的比赛列表，比赛开始倒计时，核对账号相关信息以及退出平台返回登录界面。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2.主窗口区功能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2.1竞赛剩时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要求显示当前竞赛所剩余的时间。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2.2全部任务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要求显示全部岗位的全部任务，以便快速切换查找（以数字方式呈现）。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2.3我的任务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显示当前岗位所需操作的任务。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2.4结束竞赛</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全部任务完成，确认不再修改后，支持结束竞赛操作，只有最后一个岗位才可结束竞赛。</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2.5企业信息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支持显示主体企业的相关信息。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2.6任务列表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支持显示全部岗位的全部任务，以便快速切换查找（以文字方式呈现）。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2.7标记本任务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要返回重新操作或者修改某个任务时，支持对该任务做标记，以节省查找时间。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2.8锁定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前面的任务未完成时，支持对本任务进行锁定，主要用于涉及关联业务的多人流转使用。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2.9上笔任务/下笔任务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支持切换至当前任务的上一个任务、下一个任务页面。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3.任务区功能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3.1任务内容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要求显示当前任务的描述及分值。</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3.2结果提交区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选手须根据竞赛任务要求，将完成的任务结果录入指定位置，以便模块自动评分。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3.3保存数据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当前任务完成后，点击保存数据，也可通过点击下笔任务或提交下一岗位自动保存当前任务。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3.4提交下一岗位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对于需要多人分工完成的任务，前一岗位完成后，提交下一岗位继续操作。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3.5退回修改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上一岗位提交的任务需要修改时，支持通过退回修改按钮实现修改操作。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4.材料区功能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要求显示当前任务的相关背景资料。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5.其他功能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5.1要求平台设有EXCEL插件实用工具，学生可通过EXCEL插件直接在表单上自由运算及运用函数公式计算，同时可以将实训中Excel表格的数据复制到本机Excel中，或者将本机Excel的计算结果粘贴到平台中，提高学生做题效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5.2 要求平台中内嵌计算器，方便学生计算操作。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5.3要求平台支持多种题型，包括单选题、多选题、判断题、综合题、信息化业务处理、财税管理、大数据分析、大数据审计、网上报税、Python应用、RPA财务机器人应用、Excel应用、前置题、场景调度等。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5.4要求平台提供大数据处理工具，支持利用大数据技术采集企业内外部环境的结构化、非结构化数据，进行数据存储、数据清洗、数据连接、数据</w:t>
            </w:r>
            <w:r>
              <w:rPr>
                <w:rFonts w:hint="eastAsia" w:ascii="宋体" w:hAnsi="宋体" w:eastAsia="宋体" w:cs="宋体"/>
                <w:i w:val="0"/>
                <w:color w:val="auto"/>
                <w:sz w:val="18"/>
                <w:szCs w:val="18"/>
                <w:highlight w:val="none"/>
                <w:u w:val="none"/>
                <w:lang w:val="en-US" w:eastAsia="zh-CN" w:bidi="ar"/>
              </w:rPr>
              <w:t xml:space="preserve">加工、数据建模分析及可视化呈现操作。平台内置Python开发环境，用户无需本地安装，集成Jupyter Notebook平台或Python原生环境两种配置，支持直接通过浏览器使用平台内部Python开发环境，进行Python代码的编写、调试与运行操作；且要求平台与各数据处理工具无缝集成，内置Numpy、Pandas、Matplotlib等常用第三方模块，在无需用户自己搭建编程环境条件下，通过虚拟工作场景，满足用户对大数据的采集、处理、可视化的使用需求，以及各类场景的应用，实现Python开发与应用无缝衔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5.5要求平台提供商务数据分析BI系统，支持利用平台内置的商业智能分析系统进行数据采集、建模操作。平台支持使用Oracle、SQL Server、Mysql、SQLite等21个关系型数据源，支持Excel、Json、CSV、Xml文件型数据源，支持MongoDB等NoSQL型数据源；并对数据集的数据进行新建计算列、新建度量值、设置数值格式、数值单位、缩放类型等操作，对数据集内的数据进一步进行加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w:t>
            </w:r>
            <w:r>
              <w:rPr>
                <w:rFonts w:hint="eastAsia" w:ascii="宋体" w:hAnsi="宋体" w:eastAsia="宋体" w:cs="宋体"/>
                <w:i w:val="0"/>
                <w:color w:val="auto"/>
                <w:sz w:val="18"/>
                <w:szCs w:val="18"/>
                <w:highlight w:val="none"/>
                <w:u w:val="none"/>
                <w:lang w:val="en-US" w:eastAsia="zh-CN" w:bidi="ar"/>
              </w:rPr>
              <w:t xml:space="preserve">.6要求平台提供商务数据分析BI系统，支持利用平台内置的商业智能分析系统进行数据分析、可视化操作。平台通过所选择的数据参数，系统自动选择合适的图表进行可视化呈现，支持图形包括：柱状图、折线图、饼图、雷达图、地图等38个数据可视化图形，并提供10种风格主体模板让用户对图表进一步美化；支持通过对数据进行过滤、排序、排名、条件格式化、切换统计维度和指标、切换行/列切面、选择可视化插件、容器、组件等操作，对不同数据分析场景进行个性化设置；且支持数据透视表、图表联动、数据钻取、数据切片器、OLAP 等交互式分析功能。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5.7大数据中心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大数据中心提供丰富的公共数据资源，要求数据内容涵盖上市公司XBRL数据、中国建设银行数据、中国农业银行数据、中国工商银行数据、国家统计局等多种数据来源渠道。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6、财税信息化处理功能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6.1会计信息系统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自动生成记账凭证及其他财务处理，支持凭证查询、审核、过账、自动结转损益、结账到生成账簿、报表等全部会计处理过程；支持报表默认公式提前设置好，同时支持自定义编制财务报表公式，强化学生对账表取值逻辑的理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6.2仿真网上报税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支持进行流转税及附加税费、年度所得税申报。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6.3情景实训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以企业案例场景进行会计实训，以职工岗位全局为出发点，体现企业工作场景及业务处理流程，让学生按照给出的标准化流程，一步一步主动完成企业的财务操作流程，让学员提前感知上岗环境及实习经验，快速胜任现实财务岗位。</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6.4支持同笔业务以两方（如购销甲方、乙方）身份同时处理的，在赛题和工位（赛台）同时提示相关账号等信息，以便同时完成同一业务甲方、乙方需要完成的工作任务。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6.5 RPA财务机器人应用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支持在财务数字化系统中将重复性操作采用智能RPA工具，完成RPA财务机器人的参数设置、开发与自动运行。（如RPA智能开票、RPA网银付款等）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6.6要求提供智能化答案比对功能，即允许学生采用和标准答案不同的正确答案表达方式（比如：人民币大写“元”“整”和“圆”“正”互认），允许学生答案顺序与标准答案不同（比如会计分录多借多贷时允许借和贷各行分录顺序不同），评分系统能够智能识别互认为正确，而不是僵化的只要和正确答案不一样就判错。</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四、平台预置实训案例内容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1</w:t>
            </w:r>
            <w:r>
              <w:rPr>
                <w:rFonts w:hint="eastAsia" w:ascii="宋体" w:hAnsi="宋体" w:eastAsia="宋体" w:cs="宋体"/>
                <w:i w:val="0"/>
                <w:color w:val="auto"/>
                <w:sz w:val="18"/>
                <w:szCs w:val="18"/>
                <w:highlight w:val="none"/>
                <w:u w:val="none"/>
                <w:lang w:val="en-US" w:eastAsia="zh-CN" w:bidi="ar"/>
              </w:rPr>
              <w:t xml:space="preserve">、支持完成全面预算与年度融资计划、流动贷款、项目贷款、银行承兑汇票、信用证、融资租赁、债券筹资、普通股筹资、筹资考核等。</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2</w:t>
            </w:r>
            <w:r>
              <w:rPr>
                <w:rFonts w:hint="eastAsia" w:ascii="宋体" w:hAnsi="宋体" w:eastAsia="宋体" w:cs="宋体"/>
                <w:i w:val="0"/>
                <w:color w:val="auto"/>
                <w:sz w:val="18"/>
                <w:szCs w:val="18"/>
                <w:highlight w:val="none"/>
                <w:u w:val="none"/>
                <w:lang w:val="en-US" w:eastAsia="zh-CN" w:bidi="ar"/>
              </w:rPr>
              <w:t xml:space="preserve">、支持完成固定资产投资、土地投资、股权投资、短期投资等。</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3</w:t>
            </w:r>
            <w:r>
              <w:rPr>
                <w:rFonts w:hint="eastAsia" w:ascii="宋体" w:hAnsi="宋体" w:eastAsia="宋体" w:cs="宋体"/>
                <w:i w:val="0"/>
                <w:color w:val="auto"/>
                <w:sz w:val="18"/>
                <w:szCs w:val="18"/>
                <w:highlight w:val="none"/>
                <w:u w:val="none"/>
                <w:lang w:val="en-US" w:eastAsia="zh-CN" w:bidi="ar"/>
              </w:rPr>
              <w:t xml:space="preserve">、支持完成集中采购、零星采购、进出口管控、委托加工、往来对账、存货盘点等全流程实务操作及账务处理等。</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4</w:t>
            </w:r>
            <w:r>
              <w:rPr>
                <w:rFonts w:hint="eastAsia" w:ascii="宋体" w:hAnsi="宋体" w:eastAsia="宋体" w:cs="宋体"/>
                <w:i w:val="0"/>
                <w:color w:val="auto"/>
                <w:sz w:val="18"/>
                <w:szCs w:val="18"/>
                <w:highlight w:val="none"/>
                <w:u w:val="none"/>
                <w:lang w:val="en-US" w:eastAsia="zh-CN" w:bidi="ar"/>
              </w:rPr>
              <w:t xml:space="preserve">、支持完成生产计划管理、生产日常管理、成本核算与管理等全流程实务操作及账务处理等。</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5</w:t>
            </w:r>
            <w:r>
              <w:rPr>
                <w:rFonts w:hint="eastAsia" w:ascii="宋体" w:hAnsi="宋体" w:eastAsia="宋体" w:cs="宋体"/>
                <w:i w:val="0"/>
                <w:color w:val="auto"/>
                <w:sz w:val="18"/>
                <w:szCs w:val="18"/>
                <w:highlight w:val="none"/>
                <w:u w:val="none"/>
                <w:lang w:val="en-US" w:eastAsia="zh-CN" w:bidi="ar"/>
              </w:rPr>
              <w:t xml:space="preserve">、支持完成销售计划管理、赊销管理、产品销售管理、客户投诉管理、客户评价管理、营销绩效管理、税务筹划等。</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6</w:t>
            </w:r>
            <w:r>
              <w:rPr>
                <w:rFonts w:hint="eastAsia" w:ascii="宋体" w:hAnsi="宋体" w:eastAsia="宋体" w:cs="宋体"/>
                <w:i w:val="0"/>
                <w:color w:val="auto"/>
                <w:sz w:val="18"/>
                <w:szCs w:val="18"/>
                <w:highlight w:val="none"/>
                <w:u w:val="none"/>
                <w:lang w:val="en-US" w:eastAsia="zh-CN" w:bidi="ar"/>
              </w:rPr>
              <w:t xml:space="preserve">、支持完成资金、采购、销售、生产、成本等综合分析，对企业的偿债能力、盈利能力、营运能力、发展能力进行分析，并应用大数据获取同行业数据，与同行业进行对比分析。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7</w:t>
            </w:r>
            <w:r>
              <w:rPr>
                <w:rFonts w:hint="eastAsia" w:ascii="宋体" w:hAnsi="宋体" w:eastAsia="宋体" w:cs="宋体"/>
                <w:i w:val="0"/>
                <w:color w:val="auto"/>
                <w:sz w:val="18"/>
                <w:szCs w:val="18"/>
                <w:highlight w:val="none"/>
                <w:u w:val="none"/>
                <w:lang w:val="en-US" w:eastAsia="zh-CN" w:bidi="ar"/>
              </w:rPr>
              <w:t xml:space="preserve">、支持应用大数据手段，了解被审计企业情况，完成相关审计工作底稿，出具审计报告等。</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8</w:t>
            </w:r>
            <w:r>
              <w:rPr>
                <w:rFonts w:hint="eastAsia" w:ascii="宋体" w:hAnsi="宋体" w:eastAsia="宋体" w:cs="宋体"/>
                <w:i w:val="0"/>
                <w:color w:val="auto"/>
                <w:sz w:val="18"/>
                <w:szCs w:val="18"/>
                <w:highlight w:val="none"/>
                <w:u w:val="none"/>
                <w:lang w:val="en-US" w:eastAsia="zh-CN" w:bidi="ar"/>
              </w:rPr>
              <w:t xml:space="preserve">、支持通过 RPA 财务机器人自动识别企业票据开具普通发票、专用发票等；自动生成记账凭证。</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9</w:t>
            </w:r>
            <w:r>
              <w:rPr>
                <w:rFonts w:hint="eastAsia" w:ascii="宋体" w:hAnsi="宋体" w:eastAsia="宋体" w:cs="宋体"/>
                <w:i w:val="0"/>
                <w:color w:val="auto"/>
                <w:sz w:val="18"/>
                <w:szCs w:val="18"/>
                <w:highlight w:val="none"/>
                <w:u w:val="none"/>
                <w:lang w:val="en-US" w:eastAsia="zh-CN" w:bidi="ar"/>
              </w:rPr>
              <w:t xml:space="preserve">、支持税务风险预警指标设计、计算与分析等。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w:t>
            </w:r>
            <w:r>
              <w:rPr>
                <w:rFonts w:hint="eastAsia" w:ascii="宋体" w:hAnsi="宋体" w:cs="宋体"/>
                <w:i w:val="0"/>
                <w:color w:val="auto"/>
                <w:sz w:val="18"/>
                <w:szCs w:val="18"/>
                <w:highlight w:val="none"/>
                <w:u w:val="none"/>
                <w:lang w:val="en-US" w:eastAsia="zh-CN" w:bidi="ar"/>
              </w:rPr>
              <w:t xml:space="preserve">0</w:t>
            </w:r>
            <w:r>
              <w:rPr>
                <w:rFonts w:hint="eastAsia" w:ascii="宋体" w:hAnsi="宋体" w:eastAsia="宋体" w:cs="宋体"/>
                <w:i w:val="0"/>
                <w:color w:val="auto"/>
                <w:sz w:val="18"/>
                <w:szCs w:val="18"/>
                <w:highlight w:val="none"/>
                <w:u w:val="none"/>
                <w:lang w:val="en-US" w:eastAsia="zh-CN" w:bidi="ar"/>
              </w:rPr>
              <w:t xml:space="preserve">、平台预置3家实训企业案例资料如下:</w:t>
            </w:r>
            <w:r>
              <w:rPr>
                <w:rFonts w:hint="eastAsia" w:ascii="宋体" w:hAnsi="宋体" w:eastAsia="宋体" w:cs="宋体"/>
                <w:i w:val="0"/>
                <w:color w:val="auto"/>
                <w:sz w:val="18"/>
                <w:szCs w:val="18"/>
                <w:highlight w:val="none"/>
                <w:u w:val="none"/>
                <w:lang w:val="en-US" w:eastAsia="zh-CN" w:bidi="ar"/>
              </w:rPr>
              <w:br/>
            </w:r>
            <w:r>
              <w:rPr>
                <w:rFonts w:hint="eastAsia" w:ascii="宋体" w:hAnsi="宋体" w:cs="宋体"/>
                <w:i w:val="0"/>
                <w:color w:val="auto"/>
                <w:sz w:val="18"/>
                <w:szCs w:val="18"/>
                <w:highlight w:val="none"/>
                <w:u w:val="none"/>
                <w:lang w:val="en-US" w:eastAsia="zh-CN" w:bidi="ar"/>
              </w:rPr>
              <w:t xml:space="preserve">   </w:t>
            </w:r>
            <w:r>
              <w:rPr>
                <w:rFonts w:hint="eastAsia" w:ascii="宋体" w:hAnsi="宋体" w:eastAsia="宋体" w:cs="宋体"/>
                <w:i w:val="0"/>
                <w:color w:val="auto"/>
                <w:sz w:val="18"/>
                <w:szCs w:val="18"/>
                <w:highlight w:val="none"/>
                <w:u w:val="none"/>
                <w:lang w:val="en-US" w:eastAsia="zh-CN" w:bidi="ar"/>
              </w:rPr>
              <w:t xml:space="preserve">3家实训案例涵盖服饰、电器、门业等行业。</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模块一 基于数字场景的资金业财税融合与大数据应用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【岗位设置】综合业务岗（1）、融资业务岗、投资业务岗、综合业务岗（2）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【领域设置】筹资业财税融合数字化场景大数据应用技能 、投资业财税融合数字化场景大数据应用技能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模块二 基于数字场景的营运业财税融合与大数据应用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【岗位设置】购销业务岗、成本业务岗、综合业务岗（1）、综合业务岗（2）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【领域设置】采购业财税融合数字化场景大数据应用技能、生产业财税融合数字化场景大数据应用技能、销售业财税融合数字化场景大数据应用技能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模块三 基于数字场景的管理业财税融合与大数据应用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【岗位设置】分析业务岗、管理业务岗、综合业务岗（1）、综合业务岗（2）</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【领域设置】业务分析及评价、财务分析及评价、大数据审计、RPA财务机器人、税务风险预警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五、教学辅助模块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1.★提供直播间管理功能：教师可以根据教学需要创建直播间，系统提供了大屏与文档2种模式，提供不少于3套模板（视频、视频+聊天、视频+文档+聊天），不同模板包含不同的功能模块。</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2.提供直播权限控制功能：支持设置讲师与助教的登录密码，支持2种观众密码方案，免密码验证：观众无需密码即可观看，适合公开直播使用；单密码验证：所有观众使用一个统一密码观看。</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提供教学互动中心文件共享功能：支持文件批量上传导入，动态显示上传进度；支持组织架构创建及管理，各组织的文件权限具有严格的管理功能，可对文件和知识权限进行设置，配置文件分享策略；支持面向师资教研组、学生班级等不同对象分享教案、学习资料等不同文件。</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4.提供教学互动中心知识栏目：支持为学校构建知识图谱，可通过拖动目录或文件改变知识体系架构；支持在知识内容中插入代码块、超链接、图片等资源内容。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提供毕业设计管理功能：支持实验报告、课程论文、案例报告三种毕业设计类型的线上交互指导；允许用户管理毕业设计模板，至少包括“毕业设计任务书”“开题报告”“毕业设计指导记录”“毕业设计论文”四类文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提供毕业设计格式模板：支持用户管理毕业设计格式模板，至少包括设置论文层级及编号格式（字体、字号、是否加粗、斜体、下划线、缩进、行高、对齐方式）、论文引用图片及表格格式（图片的最大宽度、最大高度、图片标题字体、字号、样式）、论文【摘要】【关键字】等元素排版、论文页眉页脚页边距、【参考文献】格式。</w:t>
            </w:r>
            <w:r>
              <w:rPr>
                <w:rFonts w:hint="eastAsia" w:ascii="宋体" w:hAnsi="宋体" w:cs="宋体"/>
                <w:color w:val="auto"/>
                <w:sz w:val="18"/>
                <w:szCs w:val="18"/>
                <w:highlight w:val="none"/>
                <w:lang w:bidi="ar"/>
              </w:rPr>
              <w:t xml:space="preserve">提供产品功能截图予以佐证</w:t>
            </w:r>
            <w:r>
              <w:rPr>
                <w:rFonts w:hint="eastAsia" w:ascii="宋体" w:hAnsi="宋体" w:cs="宋体"/>
                <w:color w:val="auto"/>
                <w:sz w:val="18"/>
                <w:szCs w:val="18"/>
                <w:highlight w:val="none"/>
                <w:lang w:eastAsia="zh-CN" w:bidi="ar"/>
              </w:rPr>
              <w:t xml:space="preserve">。</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提供毕业设计交互功能：支持教师与学生在系统完成毕业设计全部交互活动，包括毕业设计选题的发布、选题、核准互动，论文在线编辑、批注、定稿互动，毕业设计评分、归档互动。支持教师在系统中指导学生完成“毕业设计任务书”“开题报告”“毕业设计指导记录”“毕业设计论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8.提供毕业设计邮件通知：支持通过时间轴显示教师指导的所有批注内容，并且每个阶段教师的退回修改要求系统邮件通知学生。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9.提供终端载体单机版微课录制系统，要求满足以下教学应用功能：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（1）微课录制系统可以导入PPT文档，制作成老师自己的微课课件，其中能够展示PPT中所有的动画效果，能够实现鼠标滚轮+键盘上下前后键独立控制PPT播放，并且能够直接在PPT上进行板书。</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（2）PPT播放过程中可以在系统内部同时打开一个Word文档或者一个Excel文档，跟PPT进行搭配展示，方便老师进行讲解。（必须在系统内打开，不允许另外单独打开，不符合要求的视为无效功能）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（3）支持录制的时候在系统里打开各种文档和视频，比如图片、pdf、avi、wmv、mp4等常见文件，辅助老师进行内容展示。（必须在系统内打开，不允许另外单独打开，不符合要求的视为无效功能）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（4）录制过程中可以同时进行录音，可随时打开摄像头，支持同时打开2个摄像头，将摄像头画面一并录制到微课中。</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支持摄像头板书、图片格式的板书，可以直接在摄像头画面以及图片上进行板书，另外提供单独的电子板书模块，老师可以随时切换到板书模式，支持鼠标以及外置设备进行板书操作，能够将板书内容一并录制到微课中，方便老师能够自由进行板书展示。</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（6）录制完成之后，可以自选背景音乐一起合成，最终选择保存成mp4、avi、mkv、wmv格式，满足不同的播放需求。（必须支持多种视频格式，不符合要求的视为无效功能）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left"/>
              <w:keepLines w:val="0"/>
              <w:keepNext w:val="0"/>
              <w:pageBreakBefore w:val="0"/>
              <w:widowControl/>
              <w:rPr>
                <w:rFonts w:hint="eastAsia" w:ascii="宋体" w:hAnsi="宋体" w:eastAsia="宋体" w:cs="宋体"/>
                <w:b/>
                <w:i w:val="0"/>
                <w:color w:val="auto"/>
                <w:sz w:val="18"/>
                <w:szCs w:val="18"/>
                <w:highlight w:val="none"/>
                <w:u w:val="none"/>
              </w:rPr>
              <w:outlineLvl w:val="9"/>
              <w:suppressLineNumbers w:val="0"/>
            </w:pPr>
            <w:r>
              <w:rPr>
                <w:rFonts w:hint="eastAsia" w:ascii="宋体" w:hAnsi="宋体" w:eastAsia="宋体" w:cs="宋体"/>
                <w:b/>
                <w:i w:val="0"/>
                <w:color w:val="auto"/>
                <w:sz w:val="18"/>
                <w:szCs w:val="18"/>
                <w:highlight w:val="none"/>
                <w:u w:val="none"/>
                <w:lang w:val="en-US" w:eastAsia="zh-CN" w:bidi="ar"/>
              </w:rPr>
              <w:t xml:space="preserve">大数据技术竞赛硬件支撑及训练平台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40"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大数据实训管理系统参数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（一）实训系统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基础平台</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基于自研Docker容器编排管理引擎，运用云原生和容器技术构建训练环境，支持快速创建训练环境。实现每个学生环境互相隔离、训练过程互不干扰，教师可以一键操作即可创建一套全新的环境供学生进行备赛训练，方便学生高效的完成训练操作的同时，大幅降低了教师组织训练的难度和成本。</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1、本系统运行在开源操作系统Linux平台下，应使用浏览器/服务器模式提供服务,用户使用最新版本的谷歌浏览器访问系统。</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2、系统支持包括管理员、教师、学生三种角色。管理员负责系统配置维护、镜像环境维护等工作；教师负责小组维护、训练任务维护等工作；学生参与并完成训练。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管理员功能：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3、专业管理：管理员可自主创建专业，编辑专业相关内容，如：新增（编辑）专业，删除专业。</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4、班级管理：管理员可自主创建班级，编辑班级相关内容，如：新增（编辑）班级，删除班级。</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5、用户管理：管理员可自主创建用户，编辑用户相关内容，如：新增（编辑）用户的账号、姓名、手机号、角色、状态、密码等，同时也可对用户进行删除操作。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6、镜像环境：管理员可维护镜像环境，可通过网页上传Dockerfile文件来完成镜像环境的创建，也可从本地镜像仓库进行镜像同步，并可对镜像环境执行编辑等操作。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7、环境配置：管理员依据镜像环境的具体应用场景，通过添加环境配置来完善该镜像所需的CPU、内存、磁盘空间等配置信息，并可对环境配置信息进行编辑和删除。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8、服务器配置：管理员可配置计算节点服务器相关信息，包括新增服务器名称、服务器IP地址、CPU核数、内存大小、磁盘空间，也可对服务器配置信息进行编辑和删除。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9、训练资源监控：管理员可监控正在进行的训练资源，监控正在进行的训练状态、使用人数、占用资源等信息，并可对相关的环境执行启动、挂起等操作。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10、角色管理：管理员可自主创建角色，编辑角色相关内容，如：添加（编辑）角色名称、角色备注（描述）、状态、权限分配（权限分配依据角色名称分配相应权限）等，同时也可对角色进行删除操作。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11、日志管理：管理员可查看当前系统操作日志和登录日志。操作日志主要记录操作的账户、操作模块、时间、IP等信息。登录日志主要记录登录的用户、IP地址、登录状态等信息。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12、系统设置：可自定义系统名称，如浏览器标题、浏览器LOGO、登录页标题、首页标题、首页LOGO等。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教师功能：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训练模块：教师可自主创建训练模块，编辑相应的训练内容。内容包括训练的名称、介绍、使用状态、该训练指定的一个或多个实训环境、可供下载的资源包、任务设置的具体形式包括上传任务说明、任务参考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小组管理：教师可自主创建小组，并对小组进行编辑、启用、禁用等操作。已启用的小组可以进行添加成员、设置任务参考操作。在编辑具体小组时，通过选择该小组所包含的成员，内容上选择所用到的训练模块，完成小组的整体设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15、训练监控：教师可查看各小组的训练情况，选择启动、挂起、继续或结束训练环境。通过“进入”按钮，可进入小组的某个环境进行指导操作，也可对小组的某个训练环境执行启动、停止、重置或重启。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16、训练报告：对已启用小组，记录每个小组中，学生具体的训练情况，查阅学生提交上传的报告、附件等信息，编辑每个学生对应的训练成绩。</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17、个人实验环境：教师可在个人实验环境中选择镜像环境进行个人实验或练习等操作。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18、消息通知：当学生完成训练报告的提交或附件上传时，教师会收到消息通知并可通过消息通知直接找到训练报告或附件。</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19、个人资料：教师可修改个人头像及密码。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学生功能：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20、学生登录平台，可进入对应的训练模块，在线查看任务说明、任务参考，并进入训练环境进行操作，可在浏览器中访问自己的训练环境，也可通过SSH工具直连相应训练环境容器的ip地址进入该环境，支持通过环境的ip地址访问环境中部署的相应服务，也可对环境进行重置、重启、上传、下载等操作，同时学生可以下载相关的资源文件，提交个人的训练报告，上传相关附件完成训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21、个人中心：学生可修改个人头像及密码，也可查看自己的训练记录。</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训练内容配置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平台内置两套行业真实脱敏数据，行业背景为工业和电商，数据提供形式为</w:t>
            </w:r>
            <w:r>
              <w:rPr>
                <w:rFonts w:hint="eastAsia" w:ascii="宋体" w:hAnsi="宋体" w:eastAsia="宋体" w:cs="宋体"/>
                <w:i w:val="0"/>
                <w:color w:val="auto"/>
                <w:sz w:val="18"/>
                <w:szCs w:val="18"/>
                <w:highlight w:val="none"/>
                <w:u w:val="none"/>
                <w:lang w:val="en-US" w:eastAsia="zh-CN" w:bidi="ar"/>
              </w:rPr>
              <w:t xml:space="preserve">离线存量数据和实时数据生成脚本，其中工业数据包含设备信息、设备状态信息、设备记录数据信息、产品加工信息、环境检测信息等相关数据字段，电商数据包含用户信息、登录信息、积分信息、登录日志、余额变动、商品品牌信息、分类信息、供应商信息、评论信息、浏览记录、收藏信息、订单信息、购物车信息、仓库信息、物流信息等相关数据字段，并配备相应的集群环境镜像用于完成大数据相关基础平台安装部署、数据湖相关平台安装部署、离线数据抽取、离线数据清洗统计、实时数据采集、实时数据清洗统计、数据挖掘、数据可视化等大数据项目工作过程的训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（1）大数据安装部署</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Docker环境使用、Linux系统操作、Hadoop安装部署、Spark安装部署、Flink安装部署、Hive安装部署、ZooKeeper安装部署、Kafka安装部署、Flume安装部署、HBase安装部署、ClickHouse安装部署、Hudi安装部署等大数据相关组件配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提供配套大数据组件安装部署训练任务。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（2）离线数据处理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数据抽取：支持Spark SQL从MySQL抽取数据至Hive ODS层，配置etldate分区，完成字段映射与类型校验；</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数据清洗：支持去重、空值过滤、脱敏、时间格式化、字段计算等算子，支持ODS→DWD层全量清洗；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指标计算：内置商品销售TOP10、用户复购率等模板，支持Spark SQL批量计算，结果写入MySQL指定表；支持从 MySQL读取数据表，完成字符串空值填充、货币符号/千分位清洗、重量数值提取；支持字段拼接、英文分词、停用词过滤；</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提供配套离线数据处理训练任务。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（3）实时数据采集与计算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Flume 采集：支持 Socket 数据源实时采集、多路复用同步写入 Kafka 与 HDFS，配置文件可视化编辑；</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Flink 实时计算：支持 Kafka 数据消费、EventTime 时间语义、水印设置、侧边流分流，完成实时订单统计、取消率计算，结果写入 Redis；</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提供配套实时数据采集与计算训练任务。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（4）数据可视化</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提供数据可视化开发的数据接口，支持接口数据对接；</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提供配套可视化训练任务。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（5）机器学习与数据挖掘</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支持线性回归、Lasso、Range、逻辑回归、决策树、SVM、朴素贝叶斯、Adaboost、GBDT、随机森林、XGBoost、Kmeans算法、DBSCAN等技能训练；</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提供配套机器学习与数据挖掘训练任务。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（6）向量数据库</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基于Milvus v2.6.x构建，覆盖文档清洗、向量化、混合搜索全流程，提供Milvus v2.6.x构建文档。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支持Milvus连接管理、Milvus集合创建、Milvus数据入库、Milvus索引构建、Milvus数据加载、Milvus向量检索、Milvus标量查询、Milvus数据删除、Milvus数据更新等核心操作；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提供配套向量数据库训练任务。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配套资源：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1、包含大数据平台及相关组件安装包的训练集群镜像；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2、已部署完毕相关组件的大数据训练集群镜像；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3、用于数据可视化开发的数据接口服务镜像；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4、用于机器学习的训练集群镜像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5、用于向量数据库的训练集群镜像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6、工业行业背景离线数据不少于50万条和工业实时数据生成脚本；</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7、电商行业背景离线数据不少于50万条和电商实时数据生成脚本；</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8、基于镜像创建好相应的训练模块及训练集群，方便用户快速开始相应训练。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bl>
    <w:p>
      <w:pPr>
        <w:ind w:firstLine="420"/>
        <w:jc w:val="left"/>
        <w:spacing w:line="40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0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六标段</w:t>
      </w:r>
      <w:r>
        <w:rPr>
          <w:rFonts w:hint="eastAsia" w:ascii="宋体" w:hAnsi="宋体" w:cs="宋体"/>
          <w:b/>
          <w:bCs/>
          <w:color w:val="auto"/>
          <w:szCs w:val="21"/>
          <w:highlight w:val="none"/>
          <w:lang w:eastAsia="zh-CN"/>
        </w:rPr>
        <w:t xml:space="preserve">：商务管理实训设备</w:t>
      </w:r>
      <w:r/>
    </w:p>
    <w:p>
      <w:pPr>
        <w:numPr>
          <w:ilvl w:val="0"/>
          <w:numId w:val="14"/>
        </w:numPr>
        <w:contextualSpacing/>
        <w:ind w:left="420" w:hanging="420"/>
        <w:spacing w:line="400" w:lineRule="exact"/>
        <w:tabs>
          <w:tab w:val="left" w:pos="420" w:leader="none"/>
        </w:tabs>
        <w:rPr>
          <w:rFonts w:ascii="宋体" w:hAnsi="宋体"/>
          <w:color w:val="auto"/>
          <w:szCs w:val="21"/>
          <w:highlight w:val="none"/>
        </w:rPr>
      </w:pPr>
      <w:r>
        <w:rPr>
          <w:rFonts w:hint="eastAsia" w:ascii="宋体" w:hAnsi="宋体"/>
          <w:color w:val="auto"/>
          <w:szCs w:val="21"/>
          <w:highlight w:val="none"/>
        </w:rPr>
        <w:t xml:space="preserve">采购清单：</w:t>
      </w:r>
      <w:r/>
    </w:p>
    <w:tbl>
      <w:tblPr>
        <w:tblStyle w:val="955"/>
        <w:tblW w:w="1005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797"/>
        <w:gridCol w:w="825"/>
        <w:gridCol w:w="705"/>
        <w:gridCol w:w="1941"/>
      </w:tblGrid>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57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W w:w="7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单价最高限价（元）</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5797"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跨境电子商务实训平台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200000.00</w:t>
            </w:r>
            <w:r/>
          </w:p>
        </w:tc>
      </w:tr>
      <w:tr>
        <w:trPr>
          <w:trHeight w:val="340"/>
        </w:trPr>
        <w:tc>
          <w:tcPr>
            <w:shd w:val="clear" w:color="auto" w:fill="auto"/>
            <w:tcW w:w="78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5797"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数字商务人机协同通用能力平台</w:t>
            </w:r>
            <w:r/>
          </w:p>
        </w:tc>
        <w:tc>
          <w:tcPr>
            <w:shd w:val="clear" w:color="auto" w:fill="auto"/>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p>
        </w:tc>
        <w:tc>
          <w:tcPr>
            <w:shd w:val="clear" w:color="auto" w:fill="auto"/>
            <w:tcW w:w="7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套</w:t>
            </w:r>
            <w:r/>
          </w:p>
        </w:tc>
        <w:tc>
          <w:tcPr>
            <w:shd w:val="clear" w:color="auto" w:fill="auto"/>
            <w:tcW w:w="19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200000.00</w:t>
            </w:r>
            <w:r/>
          </w:p>
        </w:tc>
      </w:tr>
    </w:tbl>
    <w:p>
      <w:pPr>
        <w:numPr>
          <w:ilvl w:val="0"/>
          <w:numId w:val="14"/>
        </w:numPr>
        <w:contextualSpacing/>
        <w:ind w:left="420" w:hanging="420"/>
        <w:spacing w:line="400" w:lineRule="exact"/>
        <w:tabs>
          <w:tab w:val="left" w:pos="420" w:leader="none"/>
        </w:tabs>
        <w:rPr>
          <w:rFonts w:hint="eastAsia" w:ascii="宋体" w:hAnsi="宋体"/>
          <w:color w:val="auto"/>
          <w:szCs w:val="21"/>
          <w:highlight w:val="none"/>
        </w:rPr>
      </w:pPr>
      <w:r>
        <w:rPr>
          <w:rFonts w:hint="eastAsia" w:ascii="宋体" w:hAnsi="宋体"/>
          <w:color w:val="auto"/>
          <w:szCs w:val="21"/>
          <w:highlight w:val="none"/>
        </w:rPr>
        <w:t xml:space="preserve">详细技术参数、指标要求：</w:t>
      </w:r>
      <w:r/>
    </w:p>
    <w:tbl>
      <w:tblPr>
        <w:tblStyle w:val="955"/>
        <w:tblW w:w="10071"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696"/>
        <w:gridCol w:w="930"/>
        <w:gridCol w:w="7125"/>
        <w:gridCol w:w="675"/>
        <w:gridCol w:w="645"/>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keepLines w:val="0"/>
              <w:keepNext w:val="0"/>
              <w:pageBreakBefore w:val="0"/>
              <w:widowControl/>
              <w:rPr>
                <w:rFonts w:hint="eastAsia" w:ascii="宋体" w:hAnsi="宋体" w:eastAsia="宋体" w:cs="宋体"/>
                <w:b/>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rPr>
              <w:t xml:space="preserve">详细技术参数、指标要求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outlineLvl w:val="9"/>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cs="宋体"/>
                <w:i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left"/>
              <w:keepLines w:val="0"/>
              <w:keepNext w:val="0"/>
              <w:pageBreakBefore w:val="0"/>
              <w:widowControl/>
              <w:rPr>
                <w:rFonts w:hint="eastAsia" w:ascii="宋体" w:hAnsi="宋体" w:eastAsia="宋体" w:cs="宋体"/>
                <w:b/>
                <w:i w:val="0"/>
                <w:color w:val="auto"/>
                <w:sz w:val="18"/>
                <w:szCs w:val="18"/>
                <w:highlight w:val="none"/>
                <w:u w:val="none"/>
                <w:lang w:val="en-US" w:eastAsia="zh-CN" w:bidi="ar"/>
              </w:rPr>
              <w:suppressLineNumbers w:val="0"/>
            </w:pPr>
            <w:r>
              <w:rPr>
                <w:rFonts w:hint="eastAsia" w:ascii="宋体" w:hAnsi="宋体" w:eastAsia="宋体" w:cs="宋体"/>
                <w:b/>
                <w:i w:val="0"/>
                <w:color w:val="auto"/>
                <w:sz w:val="18"/>
                <w:szCs w:val="18"/>
                <w:highlight w:val="none"/>
                <w:u w:val="none"/>
                <w:lang w:val="en-US" w:eastAsia="zh-CN" w:bidi="ar"/>
              </w:rPr>
              <w:t xml:space="preserve">跨境电子商务实训平台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5" w:type="dxa"/>
            <w:vAlign w:val="center"/>
            <w:textDirection w:val="lrTb"/>
            <w:noWrap w:val="false"/>
          </w:tcPr>
          <w:p>
            <w:p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系统以亚</w:t>
            </w:r>
            <w:r>
              <w:rPr>
                <w:rFonts w:hint="eastAsia" w:ascii="宋体" w:hAnsi="宋体" w:eastAsia="宋体" w:cs="宋体"/>
                <w:i w:val="0"/>
                <w:color w:val="auto"/>
                <w:sz w:val="18"/>
                <w:szCs w:val="18"/>
                <w:highlight w:val="none"/>
                <w:u w:val="none"/>
                <w:lang w:val="en-US" w:eastAsia="zh-CN" w:bidi="ar"/>
              </w:rPr>
              <w:t xml:space="preserve">马逊平台为蓝本，具有仿真平台实训和教师在线教学双重功能。采用典型工作任务驱动的形式，让学生通过模拟卖家完成账号注册及认证、账户基本信息、产品刊登、产品更新及优化、沟通与交易、数据分析及运营等工作任务，支持学生在跨境电子商务平台上无限次地进行卖家流程的操作演练，熟悉跨境平台，掌握经营流程及技巧；同时为教师在线进行任务式教学、任务管理和任务结果提供管理和操作的平台。致力于培养跨境电子商务的专业复合型人才，让他们掌握跨境电子商务平台的操作和应用，同时获得更多的跨境电子商务业务经验，树立正确的跨境电子商务经营思维。</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一、技术及内容要求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1.平台可支持B/S架构设计，Java语言开发。不需要安装客户端，通过浏览器访问，可支持基于校园网的应用，兼容火狐、谷歌等主流浏览器。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2.平台应对学生、教师不同身份设置不同的登录入口，不同的身份具有不同的操作权限。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系统需涵盖亚马逊店铺注册即基本信息设置、产品发布及优化、沟通交易三大工作领域，不少于29个实训任务，实训任务的类型涉及账号注册及认证、账户基本信息、产品刊登、产品更新及优化、沟通与交易、数据分析及运营等内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4.整个实训任务应模拟亚马逊卖家从注册到正常运营的完整业务流程，每个实训任务都给定相关案例背景资料和操作说明，包括任务目标&amp;要求、任务背景资料、任务步骤说明。</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5.在产品刊登环节，系统应包含“添加新商品”、“添加跟卖商品”2种模式，提供至少3款商品参数的资源包，其中包含商品Vital info、Offer信息、商品描述、关键词、不少于20的商品图片、商品重量、包装重量、包装尺寸、生产商建议零售价、计数单位等。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6.系统应包含客户服务、发货、退换货等日常店铺常规业务处理，如买家消息回复、物流问题处理等。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二、功能要求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（一）学生端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学生端个人中心可直观地看到该账号的系统信息、待处理任务数量，可通过其直接跳转至任务中心模块。个人中心直接显示待处理任务，可通过相关按钮直接开始任务或继续任务；同时通过折线图、柱状图展现学生的历史任务得分，使学生实时了解自己的得分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2.学生端实现卖家后台各项功能，学生可自由操作。对于不同的任务状态要明确标识出不同的标签，区分出已完成、未开始、进行中，方便学生了解自己的实训完成情况。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①账号管理：卖家账号的注册及验证、卖家进行身份认证；资金账户的设置及验证、店铺信息与政策的设置。</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②产品管理：包含产品的配送模板、产品的分类与发布、产品的更新及优化等。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③交易管理：包含买家消息回复、订单发货、退货、退款等。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④数据分析：包含店铺的交易、结算、账户状况、绩效指标等。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点击“开始任务”进入实训内容模块，学生实训过程中实训任务、任务详细、课件内容、任务报告可在同一界面自由切换，点击“任务详情”展示实训背景资源，点击收缩按钮切换到实训状态；同时可一键切换至任务中心、个人中心、系统消息等模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4.与实训任务配套的资源支持多次下载，在任务详细页面，点击“资源包”系统自动下载与实任务匹配的资源。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5.与实训任务配套的课件支持一任务多课件模式，支持课件的在线查看与快速切换。</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6.★实训任务完成后，点击“结束任务”，系统根据案例背景资料自动判定客观实训任务，返回任务列表，点击“得分详情”查看具体得分要点。</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7.学情分析模块支持：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①查看该学生每个任务的总成绩、排名、最高分、最低分、平均分；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②查看某个任务的班级得分TOP10；</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③查看学生历史任务的总排名情况。</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8.★“系统消息”支持查看学生进行平台操作过程中系统发出的提示消息，包含订单信息、发货信息、买家消息等。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（二）教师端</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1.系统应支持完整的教学过程管理功能，包括班级管理、课件管理、任务步骤、任务管理、任务结果等。</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2.教师端内置班级管理页面，具有添加/删除班级、单个学生账号添加、批量生成学生账号、初始化数据、初始化密码等功能。数据、密码初始化要同时具备班级、个人两种不同需求的数据初始化方式。</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3.★应具有课件管理功能。教师可以对系统预加的课件进行搜索、查看与删除，同时可以自主添加个性化的教学课件，实现个性化教学的目标。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应具有任务管理功能。教师通过“分配班级”可以将实训任务分配给相应的实训班级，自行设置实训任务是否对某一班级用户开放；也可根据教学需求通过“上传任务包”、“上传任务”自主添加个性化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5.教师端任务结果模块实现对所有实训任务的监控管理，从任务、班级2个维度对实训任务得分进行分析，通过折线图、柱状图进行查看，同时支持将图表存为图片、数据导出为Excel等功能。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6.系统提供主观评分和自动评分两种评分体系，点击“学生实训结果”显示班级内学生列表，点击“进入报告并评分”对主观评分的实训进行评分。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三、其他要求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1.投标人应提供项目实施计划，以及相关培训的详细、可行、完整的培训方案；</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b/>
                <w:bCs/>
                <w:i w:val="0"/>
                <w:color w:val="auto"/>
                <w:sz w:val="18"/>
                <w:szCs w:val="18"/>
                <w:highlight w:val="none"/>
                <w:u w:val="none"/>
                <w:lang w:val="en-US" w:eastAsia="zh-CN" w:bidi="ar"/>
              </w:rPr>
              <w:t xml:space="preserve">2.带有★</w:t>
            </w:r>
            <w:r>
              <w:rPr>
                <w:rFonts w:hint="eastAsia" w:ascii="宋体" w:hAnsi="宋体" w:cs="宋体"/>
                <w:b/>
                <w:bCs/>
                <w:i w:val="0"/>
                <w:color w:val="auto"/>
                <w:sz w:val="18"/>
                <w:szCs w:val="18"/>
                <w:highlight w:val="none"/>
                <w:u w:val="none"/>
                <w:lang w:val="en-US" w:eastAsia="zh-CN" w:bidi="ar"/>
              </w:rPr>
              <w:t xml:space="preserve">项须</w:t>
            </w:r>
            <w:r>
              <w:rPr>
                <w:rFonts w:hint="eastAsia" w:ascii="宋体" w:hAnsi="宋体" w:eastAsia="宋体" w:cs="宋体"/>
                <w:b/>
                <w:bCs/>
                <w:i w:val="0"/>
                <w:color w:val="auto"/>
                <w:sz w:val="18"/>
                <w:szCs w:val="18"/>
                <w:highlight w:val="none"/>
                <w:u w:val="none"/>
                <w:lang w:val="en-US" w:eastAsia="zh-CN" w:bidi="ar"/>
              </w:rPr>
              <w:t xml:space="preserve">提供软件截屏</w:t>
            </w:r>
            <w:r>
              <w:rPr>
                <w:rFonts w:hint="eastAsia" w:ascii="宋体" w:hAnsi="宋体" w:cs="宋体"/>
                <w:b/>
                <w:bCs/>
                <w:i w:val="0"/>
                <w:color w:val="auto"/>
                <w:sz w:val="18"/>
                <w:szCs w:val="18"/>
                <w:highlight w:val="none"/>
                <w:u w:val="none"/>
                <w:lang w:val="en-US" w:eastAsia="zh-CN" w:bidi="ar"/>
              </w:rPr>
              <w:t xml:space="preserve">证明</w:t>
            </w:r>
            <w:r>
              <w:rPr>
                <w:rFonts w:hint="eastAsia" w:ascii="宋体" w:hAnsi="宋体" w:eastAsia="宋体" w:cs="宋体"/>
                <w:b/>
                <w:bCs/>
                <w:i w:val="0"/>
                <w:color w:val="auto"/>
                <w:sz w:val="18"/>
                <w:szCs w:val="18"/>
                <w:highlight w:val="none"/>
                <w:u w:val="none"/>
                <w:lang w:val="en-US" w:eastAsia="zh-CN" w:bidi="ar"/>
              </w:rPr>
              <w:t xml:space="preserve">，</w:t>
            </w:r>
            <w:r>
              <w:rPr>
                <w:rFonts w:hint="eastAsia" w:ascii="宋体" w:hAnsi="宋体" w:cs="宋体"/>
                <w:b/>
                <w:bCs/>
                <w:i w:val="0"/>
                <w:color w:val="auto"/>
                <w:sz w:val="18"/>
                <w:szCs w:val="18"/>
                <w:highlight w:val="none"/>
                <w:u w:val="none"/>
                <w:lang w:val="en-US" w:eastAsia="zh-CN" w:bidi="ar"/>
              </w:rPr>
              <w:t xml:space="preserve">签订合同时</w:t>
            </w:r>
            <w:r>
              <w:rPr>
                <w:rFonts w:hint="eastAsia" w:ascii="宋体" w:hAnsi="宋体" w:eastAsia="宋体" w:cs="宋体"/>
                <w:b/>
                <w:bCs/>
                <w:i w:val="0"/>
                <w:color w:val="auto"/>
                <w:sz w:val="18"/>
                <w:szCs w:val="18"/>
                <w:highlight w:val="none"/>
                <w:u w:val="none"/>
                <w:lang w:val="en-US" w:eastAsia="zh-CN" w:bidi="ar"/>
              </w:rPr>
              <w:t xml:space="preserve">需与采购方逐条演示软件确认，如不满足，按虚假</w:t>
            </w:r>
            <w:r>
              <w:rPr>
                <w:rFonts w:hint="eastAsia" w:ascii="宋体" w:hAnsi="宋体" w:cs="宋体"/>
                <w:b/>
                <w:bCs/>
                <w:i w:val="0"/>
                <w:color w:val="auto"/>
                <w:sz w:val="18"/>
                <w:szCs w:val="18"/>
                <w:highlight w:val="none"/>
                <w:u w:val="none"/>
                <w:lang w:val="en-US" w:eastAsia="zh-CN" w:bidi="ar"/>
              </w:rPr>
              <w:t xml:space="preserve">响应</w:t>
            </w:r>
            <w:r>
              <w:rPr>
                <w:rFonts w:hint="eastAsia" w:ascii="宋体" w:hAnsi="宋体" w:eastAsia="宋体" w:cs="宋体"/>
                <w:b/>
                <w:bCs/>
                <w:i w:val="0"/>
                <w:color w:val="auto"/>
                <w:sz w:val="18"/>
                <w:szCs w:val="18"/>
                <w:highlight w:val="none"/>
                <w:u w:val="none"/>
                <w:lang w:val="en-US" w:eastAsia="zh-CN" w:bidi="ar"/>
              </w:rPr>
              <w:t xml:space="preserve">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6"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left"/>
              <w:keepLines w:val="0"/>
              <w:keepNext w:val="0"/>
              <w:pageBreakBefore w:val="0"/>
              <w:widowControl/>
              <w:rPr>
                <w:rFonts w:hint="eastAsia" w:ascii="宋体" w:hAnsi="宋体" w:eastAsia="宋体" w:cs="宋体"/>
                <w:b/>
                <w:i w:val="0"/>
                <w:color w:val="auto"/>
                <w:sz w:val="18"/>
                <w:szCs w:val="18"/>
                <w:highlight w:val="none"/>
                <w:u w:val="none"/>
              </w:rPr>
              <w:suppressLineNumbers w:val="0"/>
            </w:pPr>
            <w:r>
              <w:rPr>
                <w:rFonts w:hint="eastAsia" w:ascii="宋体" w:hAnsi="宋体" w:eastAsia="宋体" w:cs="宋体"/>
                <w:b/>
                <w:i w:val="0"/>
                <w:color w:val="auto"/>
                <w:sz w:val="18"/>
                <w:szCs w:val="18"/>
                <w:highlight w:val="none"/>
                <w:u w:val="none"/>
                <w:lang w:val="en-US" w:eastAsia="zh-CN" w:bidi="ar"/>
              </w:rPr>
              <w:t xml:space="preserve">数字商务人机协同通用能力平台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5" w:type="dxa"/>
            <w:vAlign w:val="center"/>
            <w:textDirection w:val="lrTb"/>
            <w:noWrap w:val="false"/>
          </w:tcPr>
          <w:p>
            <w:pPr>
              <w:numPr>
                <w:ilvl w:val="0"/>
                <w:numId w:val="15"/>
              </w:numPr>
              <w:jc w:val="left"/>
              <w:keepLines w:val="0"/>
              <w:keepNext w:val="0"/>
              <w:pageBreakBefore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内容要求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    为全面提升营销人员在人工智能时代的综合能力，数字商务人机协同通用能力平台以“AI赋能营销实战”为核心，</w:t>
            </w:r>
            <w:r>
              <w:rPr>
                <w:rFonts w:hint="eastAsia" w:ascii="宋体" w:hAnsi="宋体" w:eastAsia="宋体" w:cs="宋体"/>
                <w:i w:val="0"/>
                <w:color w:val="auto"/>
                <w:sz w:val="18"/>
                <w:szCs w:val="18"/>
                <w:highlight w:val="none"/>
                <w:u w:val="none"/>
                <w:lang w:val="en-US" w:eastAsia="zh-CN" w:bidi="ar"/>
              </w:rPr>
              <w:t xml:space="preserve">聚焦营销领域的市场调研与分析、营销内容创作、营销策划、营销数据分析等关键环节，结合垂类AI工具应用、大模型提示词、智能体开发与实战训练等内容，构建“基础-实践-进阶-创新”系统化、阶梯式的实训体系，培养学员的市场洞察、创意生成、数据分析与智能应用能力，让学生在典型业务案例中初步接触人工智能在市场营销领域的多元应用场景，清晰认识到人工智能为营销工作带来的效率提升、精准定位、创意激发等显著优势，真切享受人工智能应用所带来的优越性及应用边界，进而为真正成为能够驾驭人工智能、推动市场营销行业发展的复合型人才做准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二、技术要求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1、系统采用B/S架构，支持最新的HTML5标准，兼容火狐、谷歌等主流浏览器。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2、系统采用前后端分离的架构模式，降低系统耦合度，减小服务器压力。 </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3、系统引入缓存机制，避免数据的重复创建、处理和传输，可有效提高性能。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4、系统前端采用流行的Html5框架layUI、JQuery等，实现跨浏览器和跨屏的兼容支持、响应式布局，实现B/S平台多终端适应。</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5、系统支持主流数据库，数据库使用索引，保证数据库数据的唯一性，提高数据的搜索及检索速度，提高系统的性能。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6、系统采用安全处理机制，如：防SQL注入、敏感数据加密处理。</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7、系统支持分布式计算，结合GPU/TPU加速，满足大规模AIGC模型推理需求。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三、功能要求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1、教师端需具备班级管理和课程管理的功能。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2、教师端支持对课程进行知识库、实训资源、课程素材、课程题库、课程设计、作业、考试等设置的教学管理功能。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★3、教师端支持对课程进行AI分析，并具备课程分析、学情分析、教学目标设定、教学策略设计、教学评价设计、教学创新、教案编写等AI备课功能。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4、教师端支持查看能力图谱，并支持对各节点进行编辑、删除等操作。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5、教师端具备学情分析功能，支持班级实训情况分析、学生实训情况分析、实训情况对比分析、学生用户画像以及能力图谱分析。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6、学生端应围绕智能体教学平台的核心教学功能，结合市场营销通用能力培养目标，设计涵盖AI应用价值与边界、营销AI工具使用、营销提示词工程、营销智能体开发等不少于4个项目的32个实训任务。</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7、平台支持学员与AI智能体进行多轮问答、案例讨论等，深化对AI应用价值与能力边界的理解。</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8、平台支持借助AI文案工具撰写品牌故事，用户可选择使用模板或由AI智能生成文本结构。平台同时提供AI生成品牌故事、内容润色优化、故事整体分析及分段总结等功能。</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9、平台支持文生图、图生图等图片生成技术实现营销背景图、新媒体配图、品牌logo等图片的制作，支持智能化生成不同比例、不同画质、不同数量的图片。</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10、平台支持通过视频在线剪辑工具进行营销短视频制作，需提供媒体库、音频库、贴纸库、文本库等不少于100个剪辑素材，供学生进行视频策划与剪辑。</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11、平台支持视频脚本智能设计功能，要能根据用户需求生成脚本大纲、时长、分镜描述、台词文案等视频脚本要素。</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12、平台要能根据学生填写的视频类型、核心主题、目标受众、视频时长等需求生成视频文案，并能够根据视频文案智能化生成有画面、字幕的短视频</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13、平台需提供产品维度表、客户维度表-个人消费者、客户维度表-公司、区域维度表、时间维度表、销售员维度表等不少于45000条数据供学生进行销售数据分析。</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14、平台支持基于AI+BI进行销售数据分析，支持利用AI工具完成可视化图表生成及结论分析，并提供图表组件、模型组件等BI工具，其中，图表组件要求至少包含饼状图、柱状图、折线图、地图等15种以上通用图表，模型组件要求至少包含互动漏斗、分析矩阵等15种以上专业图表供学生制作可视化图表。</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15、平台支持学员通过配置提示词，选择使用知识库、插件、数据库、MCP等技术，完成营销活动宣传语生成、热点借势营销活动策略、多语言、多渠道宣传文案生成、品牌宣传文案调性统一、营销内容合规检测、个性化营销活动思维发散、客户评价关键信息提取、客户情感分析与分类统计、品牌宣传视频脚本设计以及竞品分析与解决方案设计，实现高质量、合规、精准的营销内容生产与优化。</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16、平台支持学员通过配置LLM大模型、条件分支、知识库、HTTP请求、变量聚合器、代码执行、数据库等节点完成调研问卷智能创作、调研报告智析、产品卖点提炼、目标受众分析、促销策略推荐、促销话术生成、宣传文案提炼、会员消费行为追踪、用户评价情感分析、企业文化元素生成、商务礼仪规范提醒、营销数据可视化等12个营销任务，提升学员全链路营销智能化应用水平。</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17、智能体认知阶段，平台提供智能体文字介绍，清晰展示智能体的主要功能，在弹出的开始体验界面，支持使用测试用例，点击开始体验，可以追踪各节点的运行状态，并查看最终输出结果。</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18、智能体架构搭建阶段，左侧需提供任务介绍，包括任务目标、任务要求及任务操作，在右侧的画布区，用户可拖拽选用开始、LLM、条件分支、模板转换、变量聚合器、文档提取器、代码执行、参数提取器等多个节点，并根据业务需求逐步搭建完整的工作流。</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★19、智能体架构搭建阶段，可对工作流/对话流运行调试，运行后可在追踪菜单查看各节点的运行状态及输入输出数据；在详情菜单查看整体工作流运行状态、耗时及Token消耗。</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w:t>
            </w:r>
            <w:r>
              <w:rPr>
                <w:rFonts w:hint="eastAsia" w:ascii="宋体" w:hAnsi="宋体" w:cs="宋体"/>
                <w:i w:val="0"/>
                <w:color w:val="auto"/>
                <w:sz w:val="18"/>
                <w:szCs w:val="18"/>
                <w:highlight w:val="none"/>
                <w:u w:val="none"/>
                <w:lang w:val="en-US" w:eastAsia="zh-CN" w:bidi="ar"/>
              </w:rPr>
              <w:t xml:space="preserve">20</w:t>
            </w:r>
            <w:r>
              <w:rPr>
                <w:rFonts w:hint="eastAsia" w:ascii="宋体" w:hAnsi="宋体" w:eastAsia="宋体" w:cs="宋体"/>
                <w:i w:val="0"/>
                <w:color w:val="auto"/>
                <w:sz w:val="18"/>
                <w:szCs w:val="18"/>
                <w:highlight w:val="none"/>
                <w:u w:val="none"/>
                <w:lang w:val="en-US" w:eastAsia="zh-CN" w:bidi="ar"/>
              </w:rPr>
              <w:t xml:space="preserve">、智能体应用创新阶段，学员可以看到原有完整工作流的各个节点及详细配置信息，并能够在原有工作流基础上根据功能创新、业务拓展或场景迁移等具体需求，通过增加、删除或修改节点的方式进行创新应用。点击右上方的“清空”按钮，当前画布工作内容清空；点击“重置”按钮，当前画布初始化为任务开始状态</w:t>
            </w:r>
            <w:r>
              <w:rPr>
                <w:rFonts w:hint="eastAsia" w:ascii="宋体" w:hAnsi="宋体" w:cs="宋体"/>
                <w:i w:val="0"/>
                <w:color w:val="auto"/>
                <w:sz w:val="18"/>
                <w:szCs w:val="18"/>
                <w:highlight w:val="none"/>
                <w:u w:val="none"/>
                <w:lang w:val="en-US" w:eastAsia="zh-CN" w:bidi="ar"/>
              </w:rPr>
              <w:t xml:space="preserve">。</w:t>
            </w:r>
            <w:r/>
          </w:p>
          <w:p>
            <w:pPr>
              <w:numPr>
                <w:ilvl w:val="0"/>
                <w:numId w:val="0"/>
              </w:numPr>
              <w:jc w:val="left"/>
              <w:keepLines w:val="0"/>
              <w:keepNext w:val="0"/>
              <w:pageBreakBefore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cs="宋体"/>
                <w:i w:val="0"/>
                <w:color w:val="auto"/>
                <w:sz w:val="18"/>
                <w:szCs w:val="18"/>
                <w:highlight w:val="none"/>
                <w:u w:val="none"/>
                <w:lang w:val="en-US" w:eastAsia="zh-CN" w:bidi="ar"/>
              </w:rPr>
              <w:t xml:space="preserve">四</w:t>
            </w:r>
            <w:r>
              <w:rPr>
                <w:rFonts w:hint="eastAsia" w:ascii="宋体" w:hAnsi="宋体" w:eastAsia="宋体" w:cs="宋体"/>
                <w:i w:val="0"/>
                <w:color w:val="auto"/>
                <w:sz w:val="18"/>
                <w:szCs w:val="18"/>
                <w:highlight w:val="none"/>
                <w:u w:val="none"/>
                <w:lang w:val="en-US" w:eastAsia="zh-CN" w:bidi="ar"/>
              </w:rPr>
              <w:t xml:space="preserve">、其他要求</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i w:val="0"/>
                <w:color w:val="auto"/>
                <w:sz w:val="18"/>
                <w:szCs w:val="18"/>
                <w:highlight w:val="none"/>
                <w:u w:val="none"/>
                <w:lang w:val="en-US" w:eastAsia="zh-CN" w:bidi="ar"/>
              </w:rPr>
              <w:t xml:space="preserve">1.投标人应提供项目实施计划，以及相关培训的详细、可行、完整的培训方案；</w:t>
            </w:r>
            <w:r>
              <w:rPr>
                <w:rFonts w:hint="eastAsia" w:ascii="宋体" w:hAnsi="宋体" w:eastAsia="宋体" w:cs="宋体"/>
                <w:i w:val="0"/>
                <w:color w:val="auto"/>
                <w:sz w:val="18"/>
                <w:szCs w:val="18"/>
                <w:highlight w:val="none"/>
                <w:u w:val="none"/>
                <w:lang w:val="en-US" w:eastAsia="zh-CN" w:bidi="ar"/>
              </w:rPr>
              <w:br/>
            </w:r>
            <w:r>
              <w:rPr>
                <w:rFonts w:hint="eastAsia" w:ascii="宋体" w:hAnsi="宋体" w:eastAsia="宋体" w:cs="宋体"/>
                <w:b/>
                <w:bCs/>
                <w:i w:val="0"/>
                <w:color w:val="auto"/>
                <w:sz w:val="18"/>
                <w:szCs w:val="18"/>
                <w:highlight w:val="none"/>
                <w:u w:val="none"/>
                <w:lang w:val="en-US" w:eastAsia="zh-CN" w:bidi="ar"/>
              </w:rPr>
              <w:t xml:space="preserve">2.带有★</w:t>
            </w:r>
            <w:r>
              <w:rPr>
                <w:rFonts w:hint="eastAsia" w:ascii="宋体" w:hAnsi="宋体" w:cs="宋体"/>
                <w:b/>
                <w:bCs/>
                <w:i w:val="0"/>
                <w:color w:val="auto"/>
                <w:sz w:val="18"/>
                <w:szCs w:val="18"/>
                <w:highlight w:val="none"/>
                <w:u w:val="none"/>
                <w:lang w:val="en-US" w:eastAsia="zh-CN" w:bidi="ar"/>
              </w:rPr>
              <w:t xml:space="preserve">项须</w:t>
            </w:r>
            <w:r>
              <w:rPr>
                <w:rFonts w:hint="eastAsia" w:ascii="宋体" w:hAnsi="宋体" w:eastAsia="宋体" w:cs="宋体"/>
                <w:b/>
                <w:bCs/>
                <w:i w:val="0"/>
                <w:color w:val="auto"/>
                <w:sz w:val="18"/>
                <w:szCs w:val="18"/>
                <w:highlight w:val="none"/>
                <w:u w:val="none"/>
                <w:lang w:val="en-US" w:eastAsia="zh-CN" w:bidi="ar"/>
              </w:rPr>
              <w:t xml:space="preserve">提供软件截屏</w:t>
            </w:r>
            <w:r>
              <w:rPr>
                <w:rFonts w:hint="eastAsia" w:ascii="宋体" w:hAnsi="宋体" w:cs="宋体"/>
                <w:b/>
                <w:bCs/>
                <w:i w:val="0"/>
                <w:color w:val="auto"/>
                <w:sz w:val="18"/>
                <w:szCs w:val="18"/>
                <w:highlight w:val="none"/>
                <w:u w:val="none"/>
                <w:lang w:val="en-US" w:eastAsia="zh-CN" w:bidi="ar"/>
              </w:rPr>
              <w:t xml:space="preserve">证明</w:t>
            </w:r>
            <w:r>
              <w:rPr>
                <w:rFonts w:hint="eastAsia" w:ascii="宋体" w:hAnsi="宋体" w:eastAsia="宋体" w:cs="宋体"/>
                <w:b/>
                <w:bCs/>
                <w:i w:val="0"/>
                <w:color w:val="auto"/>
                <w:sz w:val="18"/>
                <w:szCs w:val="18"/>
                <w:highlight w:val="none"/>
                <w:u w:val="none"/>
                <w:lang w:val="en-US" w:eastAsia="zh-CN" w:bidi="ar"/>
              </w:rPr>
              <w:t xml:space="preserve">，</w:t>
            </w:r>
            <w:r>
              <w:rPr>
                <w:rFonts w:hint="eastAsia" w:ascii="宋体" w:hAnsi="宋体" w:cs="宋体"/>
                <w:b/>
                <w:bCs/>
                <w:i w:val="0"/>
                <w:color w:val="auto"/>
                <w:sz w:val="18"/>
                <w:szCs w:val="18"/>
                <w:highlight w:val="none"/>
                <w:u w:val="none"/>
                <w:lang w:val="en-US" w:eastAsia="zh-CN" w:bidi="ar"/>
              </w:rPr>
              <w:t xml:space="preserve">签订合同时</w:t>
            </w:r>
            <w:r>
              <w:rPr>
                <w:rFonts w:hint="eastAsia" w:ascii="宋体" w:hAnsi="宋体" w:eastAsia="宋体" w:cs="宋体"/>
                <w:b/>
                <w:bCs/>
                <w:i w:val="0"/>
                <w:color w:val="auto"/>
                <w:sz w:val="18"/>
                <w:szCs w:val="18"/>
                <w:highlight w:val="none"/>
                <w:u w:val="none"/>
                <w:lang w:val="en-US" w:eastAsia="zh-CN" w:bidi="ar"/>
              </w:rPr>
              <w:t xml:space="preserve">需与采购方逐条演示软件确认，如不满足，按虚假</w:t>
            </w:r>
            <w:r>
              <w:rPr>
                <w:rFonts w:hint="eastAsia" w:ascii="宋体" w:hAnsi="宋体" w:cs="宋体"/>
                <w:b/>
                <w:bCs/>
                <w:i w:val="0"/>
                <w:color w:val="auto"/>
                <w:sz w:val="18"/>
                <w:szCs w:val="18"/>
                <w:highlight w:val="none"/>
                <w:u w:val="none"/>
                <w:lang w:val="en-US" w:eastAsia="zh-CN" w:bidi="ar"/>
              </w:rPr>
              <w:t xml:space="preserve">响应</w:t>
            </w:r>
            <w:r>
              <w:rPr>
                <w:rFonts w:hint="eastAsia" w:ascii="宋体" w:hAnsi="宋体" w:eastAsia="宋体" w:cs="宋体"/>
                <w:b/>
                <w:bCs/>
                <w:i w:val="0"/>
                <w:color w:val="auto"/>
                <w:sz w:val="18"/>
                <w:szCs w:val="18"/>
                <w:highlight w:val="none"/>
                <w:u w:val="none"/>
                <w:lang w:val="en-US" w:eastAsia="zh-CN" w:bidi="ar"/>
              </w:rPr>
              <w:t xml:space="preserve">处理</w:t>
            </w:r>
            <w:r>
              <w:rPr>
                <w:rFonts w:hint="eastAsia" w:ascii="宋体" w:hAnsi="宋体" w:cs="宋体"/>
                <w:b/>
                <w:bCs/>
                <w:i w:val="0"/>
                <w:color w:val="auto"/>
                <w:sz w:val="18"/>
                <w:szCs w:val="18"/>
                <w:highlight w:val="none"/>
                <w:u w:val="none"/>
                <w:lang w:val="en-US" w:eastAsia="zh-CN" w:bidi="ar"/>
              </w:rPr>
              <w:t xml:space="preserve">。</w:t>
            </w:r>
            <w:r/>
          </w:p>
          <w:p>
            <w:pPr>
              <w:numPr>
                <w:ilvl w:val="0"/>
                <w:numId w:val="0"/>
              </w:numPr>
              <w:jc w:val="left"/>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3、免费提供至少5亿Token的使用额度，可支持60个用户账号共享。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val="false"/>
          </w:tcPr>
          <w:p>
            <w:pPr>
              <w:jc w:val="center"/>
              <w:keepLines w:val="0"/>
              <w:keepNext w:val="0"/>
              <w:pageBreakBefore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套</w:t>
            </w:r>
            <w:r/>
          </w:p>
        </w:tc>
      </w:tr>
    </w:tbl>
    <w:p>
      <w:pPr>
        <w:numPr>
          <w:ilvl w:val="0"/>
          <w:numId w:val="7"/>
        </w:numPr>
        <w:contextualSpacing/>
        <w:spacing w:line="400" w:lineRule="exact"/>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综合说明</w:t>
      </w:r>
      <w:r/>
    </w:p>
    <w:p>
      <w:pPr>
        <w:numPr>
          <w:ilvl w:val="0"/>
          <w:numId w:val="16"/>
        </w:numPr>
        <w:jc w:val="left"/>
        <w:spacing w:line="400" w:lineRule="exact"/>
        <w:rPr>
          <w:rFonts w:ascii="宋体" w:hAnsi="宋体" w:cs="宋体"/>
          <w:color w:val="auto"/>
          <w:highlight w:val="none"/>
        </w:rPr>
      </w:pPr>
      <w:r>
        <w:rPr>
          <w:rFonts w:hint="eastAsia" w:ascii="宋体" w:hAnsi="宋体" w:cs="宋体"/>
          <w:b/>
          <w:bCs/>
          <w:color w:val="auto"/>
          <w:highlight w:val="none"/>
        </w:rPr>
        <w:t xml:space="preserve">本项目采购需求中的所有内容及要求均不允许出现负偏离，否则视为未实质性响应采购文件的要求。</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本项目不接受进口产品投标。</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本项目核心产品为：</w:t>
      </w:r>
      <w:r/>
    </w:p>
    <w:tbl>
      <w:tblPr>
        <w:tblStyle w:val="989"/>
        <w:tblW w:w="8460" w:type="dxa"/>
        <w:tblInd w:w="6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6570"/>
      </w:tblGrid>
      <w:tr>
        <w:trPr/>
        <w:tc>
          <w:tcPr>
            <w:tcW w:w="189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标段</w:t>
            </w:r>
            <w:r/>
          </w:p>
        </w:tc>
        <w:tc>
          <w:tcPr>
            <w:tcW w:w="657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核心产品</w:t>
            </w:r>
            <w:r/>
          </w:p>
        </w:tc>
      </w:tr>
      <w:tr>
        <w:trPr/>
        <w:tc>
          <w:tcPr>
            <w:tcW w:w="18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一标段</w:t>
            </w:r>
            <w:r/>
          </w:p>
        </w:tc>
        <w:tc>
          <w:tcPr>
            <w:tcW w:w="6570" w:type="dxa"/>
            <w:textDirection w:val="lrTb"/>
            <w:noWrap w:val="false"/>
          </w:tcPr>
          <w:p>
            <w:pPr>
              <w:jc w:val="center"/>
              <w:rPr>
                <w:rFonts w:ascii="宋体" w:hAnsi="宋体" w:cs="宋体"/>
                <w:color w:val="auto"/>
                <w:highlight w:val="none"/>
              </w:rPr>
            </w:pPr>
            <w:r>
              <w:rPr>
                <w:rFonts w:hint="eastAsia" w:ascii="宋体" w:hAnsi="宋体" w:cs="宋体"/>
                <w:color w:val="auto"/>
                <w:szCs w:val="21"/>
                <w:highlight w:val="none"/>
                <w:lang w:val="en-US" w:eastAsia="zh-CN"/>
              </w:rPr>
              <w:t xml:space="preserve">新一代数字化网络实训靶场平台</w:t>
            </w:r>
            <w:r/>
          </w:p>
        </w:tc>
      </w:tr>
      <w:tr>
        <w:trPr/>
        <w:tc>
          <w:tcPr>
            <w:tcW w:w="18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二标段</w:t>
            </w:r>
            <w:r/>
          </w:p>
        </w:tc>
        <w:tc>
          <w:tcPr>
            <w:tcW w:w="657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无人机综合实训设备</w:t>
            </w:r>
            <w:r/>
          </w:p>
        </w:tc>
      </w:tr>
      <w:tr>
        <w:trPr/>
        <w:tc>
          <w:tcPr>
            <w:tcW w:w="18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三标段</w:t>
            </w:r>
            <w:r/>
          </w:p>
        </w:tc>
        <w:tc>
          <w:tcPr>
            <w:tcW w:w="6570" w:type="dxa"/>
            <w:textDirection w:val="lrTb"/>
            <w:noWrap w:val="false"/>
          </w:tcPr>
          <w:p>
            <w:pPr>
              <w:jc w:val="center"/>
              <w:rPr>
                <w:rFonts w:ascii="宋体" w:hAnsi="宋体" w:cs="宋体"/>
                <w:color w:val="auto"/>
                <w:highlight w:val="none"/>
              </w:rPr>
            </w:pPr>
            <w:r>
              <w:rPr>
                <w:rFonts w:hint="eastAsia" w:ascii="宋体" w:hAnsi="宋体" w:cs="宋体"/>
                <w:color w:val="auto"/>
                <w:szCs w:val="21"/>
                <w:highlight w:val="none"/>
                <w:lang w:val="en-US" w:eastAsia="zh-CN"/>
              </w:rPr>
              <w:t xml:space="preserve">医疗电子组装与维护操作软硬件设备</w:t>
            </w:r>
            <w:r/>
          </w:p>
        </w:tc>
      </w:tr>
      <w:tr>
        <w:trPr/>
        <w:tc>
          <w:tcPr>
            <w:tcW w:w="18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四标段</w:t>
            </w:r>
            <w:r/>
          </w:p>
        </w:tc>
        <w:tc>
          <w:tcPr>
            <w:tcW w:w="6570" w:type="dxa"/>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视觉艺术设计实训设备</w:t>
            </w:r>
            <w:r/>
          </w:p>
        </w:tc>
      </w:tr>
      <w:tr>
        <w:trPr/>
        <w:tc>
          <w:tcPr>
            <w:tcW w:w="18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五标段</w:t>
            </w:r>
            <w:r/>
          </w:p>
        </w:tc>
        <w:tc>
          <w:tcPr>
            <w:tcW w:w="657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 智能化成本核算与管理智慧平台</w:t>
            </w:r>
            <w:r/>
          </w:p>
        </w:tc>
      </w:tr>
      <w:tr>
        <w:trPr/>
        <w:tc>
          <w:tcPr>
            <w:tcW w:w="18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六标段</w:t>
            </w:r>
            <w:r/>
          </w:p>
        </w:tc>
        <w:tc>
          <w:tcPr>
            <w:tcW w:w="6570" w:type="dxa"/>
            <w:textDirection w:val="lrTb"/>
            <w:noWrap w:val="false"/>
          </w:tcPr>
          <w:p>
            <w:pPr>
              <w:jc w:val="center"/>
              <w:rPr>
                <w:rFonts w:ascii="宋体" w:hAnsi="宋体" w:cs="宋体"/>
                <w:color w:val="auto"/>
                <w:highlight w:val="none"/>
              </w:rPr>
            </w:pPr>
            <w:r>
              <w:rPr>
                <w:rFonts w:hint="default" w:ascii="宋体" w:hAnsi="宋体" w:cs="宋体"/>
                <w:color w:val="auto"/>
                <w:szCs w:val="21"/>
                <w:highlight w:val="none"/>
                <w:lang w:val="en-US" w:eastAsia="zh-CN"/>
              </w:rPr>
              <w:t xml:space="preserve">数字商务人机协同通用能力平台</w:t>
            </w:r>
            <w:r/>
          </w:p>
        </w:tc>
      </w:tr>
    </w:tbl>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项目履约期限：合同签订之日起30天内交付并安装调试完毕。</w:t>
      </w:r>
      <w:r>
        <w:rPr>
          <w:rFonts w:hint="eastAsia" w:cs="宋体"/>
          <w:color w:val="auto"/>
          <w:highlight w:val="none"/>
        </w:rPr>
        <w:t xml:space="preserve">如不能如期供货，采购方有权终止合同，供应商须承担由此对采购方造成的损失。</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项目交付地点：采购人指定地点。</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响应单位须保证所投软件必须为正版，因版权问题造成的一切后果均由成交供应商承担。</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产品测试：</w:t>
      </w:r>
      <w:r/>
    </w:p>
    <w:p>
      <w:pPr>
        <w:ind w:left="567"/>
        <w:jc w:val="left"/>
        <w:spacing w:line="400" w:lineRule="exact"/>
        <w:tabs>
          <w:tab w:val="left" w:pos="420" w:leader="none"/>
        </w:tabs>
        <w:rPr>
          <w:rFonts w:ascii="宋体" w:hAnsi="宋体" w:cs="宋体"/>
          <w:color w:val="auto"/>
          <w:highlight w:val="none"/>
        </w:rPr>
      </w:pPr>
      <w:r>
        <w:rPr>
          <w:rFonts w:hint="eastAsia" w:ascii="宋体" w:hAnsi="宋体" w:cs="宋体"/>
          <w:color w:val="auto"/>
          <w:highlight w:val="none"/>
        </w:rPr>
        <w:t xml:space="preserve">签订合同时采购人有权要求成交单位提供主要产品进行功能测试，如不满足采购要求，采购人有权认定产品不合格，视为虚假响应，并追究其相应责任，承担由此对采购人造成的一切损失并解除合同。</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免费质保期：自项目验收合格之日起提供不低于一年的免费质保期</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特殊产品质保期按照不低于技术参数中要求执行</w:t>
      </w:r>
      <w:r>
        <w:rPr>
          <w:rFonts w:hint="eastAsia" w:ascii="宋体" w:hAnsi="宋体" w:cs="宋体"/>
          <w:color w:val="auto"/>
          <w:highlight w:val="none"/>
        </w:rPr>
        <w:t xml:space="preserve">，产品原厂质保期高于此标准的按原厂质保期限执行。</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售后服务响应：在免费质保期内提供免费优质的售后服务，如发生质量问题，供应商应在采购人发出通知后于1小时内响应，6小时内到达现场进行维修、更换或退货，遇有紧急情况或发生重大故障时须在4小时内到达现场进行维修，24小时内解决问题，否则为保障采购人正常使用，应提供满足采购人需求的相应替代产品，否则采购人有权自行采取相应补救措施，产生的一切费用由供应商全权承担。</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质量保证：响应单位须保证成交后</w:t>
      </w:r>
      <w:r>
        <w:rPr>
          <w:rFonts w:hint="eastAsia" w:ascii="宋体" w:hAnsi="宋体" w:cs="宋体"/>
          <w:color w:val="auto"/>
          <w:highlight w:val="none"/>
          <w:lang w:val="zh-CN"/>
        </w:rPr>
        <w:t xml:space="preserve">提供的货物均为按国家规格条例生产的合格正规产品、符合设计规范要求。</w:t>
      </w:r>
      <w:r>
        <w:rPr>
          <w:rFonts w:hint="eastAsia" w:ascii="宋体" w:hAnsi="宋体" w:cs="宋体"/>
          <w:color w:val="auto"/>
          <w:highlight w:val="none"/>
        </w:rPr>
        <w:t xml:space="preserve">响应单位</w:t>
      </w:r>
      <w:r>
        <w:rPr>
          <w:rFonts w:hint="eastAsia" w:ascii="宋体" w:hAnsi="宋体" w:cs="宋体"/>
          <w:color w:val="auto"/>
          <w:highlight w:val="none"/>
          <w:lang w:val="zh-CN"/>
        </w:rPr>
        <w:t xml:space="preserve">应能保证所提供货物涉及到的知识产权是合法取得，并享有完整的知识产权，不会因为采购人的使用而被责令停</w:t>
      </w:r>
      <w:r>
        <w:rPr>
          <w:rFonts w:hint="eastAsia" w:ascii="宋体" w:hAnsi="宋体" w:cs="宋体"/>
          <w:color w:val="auto"/>
          <w:highlight w:val="none"/>
        </w:rPr>
        <w:t xml:space="preserve">止使用、追偿或要求赔偿损失，如出现此情况，一切经济和法律责任均由成交单位承担。</w:t>
      </w:r>
      <w:r/>
    </w:p>
    <w:p>
      <w:pPr>
        <w:numPr>
          <w:ilvl w:val="0"/>
          <w:numId w:val="16"/>
        </w:numPr>
        <w:jc w:val="left"/>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安装</w:t>
      </w:r>
      <w:r>
        <w:rPr>
          <w:rFonts w:hint="eastAsia" w:ascii="宋体" w:hAnsi="宋体" w:cs="宋体"/>
          <w:color w:val="auto"/>
          <w:highlight w:val="none"/>
        </w:rPr>
        <w:t xml:space="preserve">调试</w:t>
      </w:r>
      <w:r>
        <w:rPr>
          <w:rFonts w:hint="eastAsia" w:ascii="宋体" w:hAnsi="宋体" w:cs="宋体"/>
          <w:color w:val="auto"/>
          <w:highlight w:val="none"/>
          <w:lang w:val="zh-CN"/>
        </w:rPr>
        <w:t xml:space="preserve">要求：</w:t>
      </w:r>
      <w:r/>
    </w:p>
    <w:p>
      <w:pPr>
        <w:numPr>
          <w:ilvl w:val="0"/>
          <w:numId w:val="17"/>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安装</w:t>
      </w:r>
      <w:r>
        <w:rPr>
          <w:rFonts w:hint="eastAsia" w:ascii="宋体" w:hAnsi="宋体" w:cs="宋体"/>
          <w:color w:val="auto"/>
          <w:highlight w:val="none"/>
        </w:rPr>
        <w:t xml:space="preserve">调试时须</w:t>
      </w:r>
      <w:r>
        <w:rPr>
          <w:rFonts w:hint="eastAsia" w:ascii="宋体" w:hAnsi="宋体" w:cs="宋体"/>
          <w:color w:val="auto"/>
          <w:highlight w:val="none"/>
          <w:lang w:val="zh-CN"/>
        </w:rPr>
        <w:t xml:space="preserve">遵守</w:t>
      </w:r>
      <w:r>
        <w:rPr>
          <w:rFonts w:hint="eastAsia" w:ascii="宋体" w:hAnsi="宋体" w:cs="宋体"/>
          <w:color w:val="auto"/>
          <w:highlight w:val="none"/>
        </w:rPr>
        <w:t xml:space="preserve">学校</w:t>
      </w:r>
      <w:r>
        <w:rPr>
          <w:rFonts w:hint="eastAsia" w:ascii="宋体" w:hAnsi="宋体" w:cs="宋体"/>
          <w:color w:val="auto"/>
          <w:highlight w:val="none"/>
          <w:lang w:val="zh-CN"/>
        </w:rPr>
        <w:t xml:space="preserve">现场的一切规章制度；</w:t>
      </w:r>
      <w:r/>
    </w:p>
    <w:p>
      <w:pPr>
        <w:numPr>
          <w:ilvl w:val="0"/>
          <w:numId w:val="17"/>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负责保管、看护进场的设备及附配件直至完成安装调试后交付甲方；</w:t>
      </w:r>
      <w:r/>
    </w:p>
    <w:p>
      <w:pPr>
        <w:numPr>
          <w:ilvl w:val="0"/>
          <w:numId w:val="17"/>
        </w:numPr>
        <w:spacing w:line="400" w:lineRule="exact"/>
        <w:rPr>
          <w:rFonts w:ascii="宋体" w:hAnsi="宋体" w:cs="宋体"/>
          <w:color w:val="auto"/>
          <w:highlight w:val="none"/>
          <w:lang w:val="zh-CN"/>
        </w:rPr>
      </w:pP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负责设备、安装工具等提供适当的保护、包装或覆盖等处理，直至验收合格，以免受损；</w:t>
      </w:r>
      <w:r/>
    </w:p>
    <w:p>
      <w:pPr>
        <w:numPr>
          <w:ilvl w:val="0"/>
          <w:numId w:val="17"/>
        </w:numPr>
        <w:spacing w:line="400" w:lineRule="exact"/>
        <w:rPr>
          <w:rFonts w:ascii="宋体" w:hAnsi="宋体" w:cs="宋体"/>
          <w:color w:val="auto"/>
          <w:highlight w:val="none"/>
        </w:rPr>
      </w:pPr>
      <w:r>
        <w:rPr>
          <w:rFonts w:hint="eastAsia" w:ascii="宋体" w:hAnsi="宋体" w:cs="宋体"/>
          <w:color w:val="auto"/>
          <w:highlight w:val="none"/>
          <w:lang w:val="zh-CN"/>
        </w:rPr>
        <w:t xml:space="preserve">无论调试期间或保修过程中，</w:t>
      </w:r>
      <w:r>
        <w:rPr>
          <w:rFonts w:hint="eastAsia" w:ascii="宋体" w:hAnsi="宋体" w:cs="宋体"/>
          <w:color w:val="auto"/>
          <w:highlight w:val="none"/>
        </w:rPr>
        <w:t xml:space="preserve">成交单位</w:t>
      </w:r>
      <w:r>
        <w:rPr>
          <w:rFonts w:hint="eastAsia" w:ascii="宋体" w:hAnsi="宋体" w:cs="宋体"/>
          <w:color w:val="auto"/>
          <w:highlight w:val="none"/>
          <w:lang w:val="zh-CN"/>
        </w:rPr>
        <w:t xml:space="preserve">负责及时清理垃圾。</w:t>
      </w:r>
      <w:r/>
    </w:p>
    <w:p>
      <w:pPr>
        <w:numPr>
          <w:ilvl w:val="0"/>
          <w:numId w:val="16"/>
        </w:numPr>
        <w:jc w:val="left"/>
        <w:spacing w:line="400" w:lineRule="exact"/>
        <w:rPr>
          <w:rFonts w:ascii="宋体" w:hAnsi="宋体" w:cs="宋体"/>
          <w:color w:val="auto"/>
          <w:highlight w:val="none"/>
        </w:rPr>
      </w:pPr>
      <w:r>
        <w:rPr>
          <w:rFonts w:hint="eastAsia" w:ascii="宋体" w:hAnsi="宋体" w:cs="宋体"/>
          <w:color w:val="auto"/>
          <w:highlight w:val="none"/>
        </w:rPr>
        <w:t xml:space="preserve">验收说明：</w:t>
      </w:r>
      <w:r>
        <w:rPr>
          <w:rFonts w:hint="eastAsia" w:ascii="宋体" w:hAnsi="宋体" w:cs="仿宋_GB2312"/>
          <w:color w:val="auto"/>
          <w:szCs w:val="21"/>
          <w:highlight w:val="none"/>
        </w:rPr>
        <w:t xml:space="preserve">本项目将根据政府采购法及相关法规，以及《苏州工业园区政府采购履约验收管理暂行办法》</w:t>
      </w:r>
      <w:bookmarkStart w:id="2" w:name="OLE_LINK17"/>
      <w:r>
        <w:rPr>
          <w:rFonts w:hint="eastAsia" w:ascii="宋体" w:hAnsi="宋体" w:cs="宋体"/>
          <w:color w:val="auto"/>
          <w:szCs w:val="21"/>
          <w:highlight w:val="none"/>
        </w:rPr>
        <w:t xml:space="preserve">以</w:t>
      </w:r>
      <w:bookmarkEnd w:id="2"/>
      <w:r>
        <w:rPr>
          <w:rFonts w:hint="eastAsia" w:ascii="宋体" w:hAnsi="宋体" w:cs="宋体"/>
          <w:color w:val="auto"/>
          <w:szCs w:val="21"/>
          <w:highlight w:val="none"/>
        </w:rPr>
        <w:t xml:space="preserve">及《江苏省政府采购履约验收管理办法》</w:t>
      </w:r>
      <w:r>
        <w:rPr>
          <w:rFonts w:hint="eastAsia" w:ascii="宋体" w:hAnsi="宋体" w:cs="仿宋_GB2312"/>
          <w:color w:val="auto"/>
          <w:szCs w:val="21"/>
          <w:highlight w:val="none"/>
        </w:rPr>
        <w:t xml:space="preserve">文件的规定,对供应商进行履约验收，确认验收合格的，将出具《政府采购履约验收书》。《政府采购履约验收书》、合同是申请支付政府采购合同价款的必备资料。</w:t>
      </w:r>
      <w:r/>
    </w:p>
    <w:p>
      <w:pPr>
        <w:numPr>
          <w:ilvl w:val="0"/>
          <w:numId w:val="7"/>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其他说明</w:t>
      </w:r>
      <w:r/>
    </w:p>
    <w:p>
      <w:pPr>
        <w:numPr>
          <w:ilvl w:val="0"/>
          <w:numId w:val="18"/>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响应单位在投标时应注明所投货物的品牌、型号、</w:t>
      </w:r>
      <w:r>
        <w:rPr>
          <w:rFonts w:hint="eastAsia" w:ascii="宋体" w:hAnsi="宋体" w:cs="宋体"/>
          <w:color w:val="auto"/>
          <w:szCs w:val="21"/>
          <w:highlight w:val="none"/>
        </w:rPr>
        <w:t xml:space="preserve">详细技术参数、指标</w:t>
      </w:r>
      <w:r>
        <w:rPr>
          <w:rFonts w:hint="eastAsia" w:ascii="宋体" w:hAnsi="宋体" w:cs="宋体"/>
          <w:color w:val="auto"/>
          <w:highlight w:val="none"/>
        </w:rPr>
        <w:t xml:space="preserve">等。</w:t>
      </w:r>
      <w:r/>
    </w:p>
    <w:p>
      <w:pPr>
        <w:numPr>
          <w:ilvl w:val="0"/>
          <w:numId w:val="18"/>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所提供的相关产品应根据国家标准和规范进行设计和制造，并遵循采购文件的要求，其产品是技术成熟的、性能优良，整体设计和软硬件配备全新的原厂产品，并提供详细的产品说明。如其中某些条款不能完全满足时，必须在响应文件中逐条列出，未列出的视为完全响应，但不作为判断是否满足采购文件要求的唯一条件。</w:t>
      </w:r>
      <w:r/>
    </w:p>
    <w:p>
      <w:pPr>
        <w:numPr>
          <w:ilvl w:val="0"/>
          <w:numId w:val="18"/>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响应单位须负责其所提供的所有设备的安装调试、以及与之相关的一切必要配套工作。</w:t>
      </w:r>
      <w:r/>
    </w:p>
    <w:p>
      <w:pPr>
        <w:numPr>
          <w:ilvl w:val="0"/>
          <w:numId w:val="18"/>
        </w:numPr>
        <w:jc w:val="left"/>
        <w:spacing w:line="400" w:lineRule="exact"/>
        <w:rPr>
          <w:rFonts w:ascii="宋体" w:hAnsi="宋体" w:cs="宋体"/>
          <w:color w:val="auto"/>
          <w:highlight w:val="none"/>
        </w:rPr>
      </w:pPr>
      <w:r>
        <w:rPr>
          <w:rFonts w:hint="eastAsia" w:ascii="宋体" w:hAnsi="宋体" w:cs="宋体"/>
          <w:color w:val="auto"/>
          <w:highlight w:val="none"/>
        </w:rPr>
        <w:t xml:space="preserve">本次谈判总报价包括所有货物及备品、备件、辅配件和专用工具费用、安装、调试、技术支持与培训、检测验收、配套服务、包装、运输、售后与维保、保险及相关劳务支出等工作所发生的全部费用以及响应单位企业利润、税金和政策性文件规定及合同包含的所有风险、责任等各项应有费用。响应单位应保证如项目实施过程中有辅助材料缺漏，响应单位负责无条件补齐，费用包含在本次谈判报价中，采购人不再另行支付。</w:t>
      </w:r>
      <w:r/>
    </w:p>
    <w:p>
      <w:pPr>
        <w:numPr>
          <w:ilvl w:val="0"/>
          <w:numId w:val="18"/>
        </w:numPr>
        <w:jc w:val="left"/>
        <w:spacing w:line="400" w:lineRule="exact"/>
        <w:rPr>
          <w:rFonts w:ascii="宋体" w:hAnsi="宋体" w:cs="宋体"/>
          <w:color w:val="auto"/>
          <w:highlight w:val="none"/>
        </w:rPr>
      </w:pPr>
      <w:r>
        <w:rPr>
          <w:rFonts w:hint="eastAsia" w:ascii="宋体" w:hAnsi="宋体" w:cs="宋体"/>
          <w:color w:val="auto"/>
          <w:highlight w:val="none"/>
        </w:rPr>
        <w:t xml:space="preserve">响应单位在项目交货及实施过程中须做好安全防范工作，出现一切人身安全事故及财产损失由成交单位全权负责、承担。采购人在此项目中不再就安全问题承担任何责任。</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根据财政部、发展改革委、生态环境部、市场监管总局关于调整优化节能产品、环境标志产品政府采购执行机制的通知：</w:t>
      </w:r>
      <w:r/>
    </w:p>
    <w:p>
      <w:pPr>
        <w:ind w:firstLine="567"/>
        <w:keepLines w:val="0"/>
        <w:keepNext w:val="0"/>
        <w:pageBreakBefore w:val="0"/>
        <w:spacing w:line="440" w:lineRule="exact"/>
        <w:widowControl w:val="off"/>
        <w:rPr>
          <w:rFonts w:hint="eastAsia" w:ascii="宋体" w:hAnsi="宋体" w:cs="宋体"/>
          <w:color w:val="auto"/>
          <w:highlight w:val="none"/>
        </w:rPr>
        <w:outlineLvl w:val="9"/>
      </w:pPr>
      <w:r>
        <w:rPr>
          <w:rFonts w:hint="eastAsia" w:ascii="宋体" w:hAnsi="宋体" w:cs="宋体"/>
          <w:color w:val="auto"/>
          <w:highlight w:val="none"/>
        </w:rPr>
        <w:t xml:space="preserve">本次拟采购产品中未涉及到节能强制采购产品、优先采购节能产品、优先采购环保产品。</w:t>
      </w:r>
      <w:r/>
    </w:p>
    <w:p>
      <w:pPr>
        <w:numPr>
          <w:ilvl w:val="0"/>
          <w:numId w:val="7"/>
        </w:numPr>
        <w:contextualSpacing/>
        <w:spacing w:line="400" w:lineRule="exact"/>
        <w:tabs>
          <w:tab w:val="left" w:pos="0" w:leader="none"/>
        </w:tabs>
        <w:rPr>
          <w:rFonts w:hint="eastAsia" w:ascii="宋体" w:hAnsi="宋体" w:eastAsia="宋体" w:cs="宋体"/>
          <w:b/>
          <w:bCs/>
          <w:color w:val="auto"/>
          <w:highlight w:val="none"/>
        </w:rPr>
      </w:pPr>
      <w:r/>
      <w:bookmarkStart w:id="3" w:name="OLE_LINK9"/>
      <w:r/>
      <w:bookmarkStart w:id="4" w:name="_Hlk195711144"/>
      <w:r>
        <w:rPr>
          <w:rFonts w:hint="eastAsia" w:ascii="宋体" w:hAnsi="宋体" w:eastAsia="宋体" w:cs="宋体"/>
          <w:b/>
          <w:bCs/>
          <w:color w:val="auto"/>
          <w:highlight w:val="none"/>
        </w:rPr>
        <w:t xml:space="preserve">实施本国产品标准及相关政策</w:t>
      </w:r>
      <w:r/>
    </w:p>
    <w:p>
      <w:pPr>
        <w:numPr>
          <w:ilvl w:val="0"/>
          <w:numId w:val="19"/>
        </w:num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根据《国务院办公厅关于在政府采购中实施本国产品标准及相关政策的通知》（国办发〔2025〕34号）的规定，本项目对采购本国产品给予政策支持。</w:t>
      </w:r>
      <w:r/>
    </w:p>
    <w:p>
      <w:pPr>
        <w:numPr>
          <w:ilvl w:val="0"/>
          <w:numId w:val="19"/>
        </w:num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19"/>
        </w:num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9"/>
        </w:numPr>
        <w:jc w:val="left"/>
        <w:spacing w:line="400" w:lineRule="exact"/>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本项目政府采购</w:t>
      </w:r>
      <w:r>
        <w:rPr>
          <w:rFonts w:hint="eastAsia" w:ascii="宋体" w:hAnsi="宋体" w:eastAsia="宋体" w:cs="宋体"/>
          <w:color w:val="auto"/>
          <w:szCs w:val="24"/>
          <w:highlight w:val="none"/>
        </w:rPr>
        <w:t xml:space="preserve">活动中既有本国产品又有非本国产品参与竞争的，依法对本国产品给予价格评审优惠，对本国产品的报价给予</w:t>
      </w:r>
      <w:r>
        <w:rPr>
          <w:rFonts w:hint="eastAsia" w:ascii="宋体" w:hAnsi="宋体" w:eastAsia="宋体" w:cs="宋体"/>
          <w:color w:val="auto"/>
          <w:szCs w:val="24"/>
          <w:highlight w:val="none"/>
          <w:u w:val="single"/>
        </w:rPr>
        <w:t xml:space="preserve">20%</w:t>
      </w:r>
      <w:r>
        <w:rPr>
          <w:rFonts w:hint="eastAsia" w:ascii="宋体" w:hAnsi="宋体" w:eastAsia="宋体" w:cs="宋体"/>
          <w:color w:val="auto"/>
          <w:szCs w:val="24"/>
          <w:highlight w:val="none"/>
        </w:rPr>
        <w:t xml:space="preserve">的价格扣除，用扣除后的价格参与评审。</w:t>
      </w:r>
      <w:r/>
    </w:p>
    <w:p>
      <w:pPr>
        <w:ind w:firstLine="567"/>
        <w:keepLines w:val="0"/>
        <w:keepNext w:val="0"/>
        <w:pageBreakBefore w:val="0"/>
        <w:spacing w:line="44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Cs w:val="24"/>
          <w:highlight w:val="none"/>
          <w:u w:val="single"/>
        </w:rPr>
        <w:t xml:space="preserve">80%</w:t>
      </w:r>
      <w:r>
        <w:rPr>
          <w:rFonts w:hint="eastAsia" w:ascii="宋体" w:hAnsi="宋体" w:eastAsia="宋体" w:cs="宋体"/>
          <w:color w:val="auto"/>
          <w:szCs w:val="24"/>
          <w:highlight w:val="none"/>
        </w:rPr>
        <w:t xml:space="preserve">以上时（供应商需在“第六章 响应文件格式”的“谈判响应报价表”中填写比例数值），依法对该供应商提供的全部产品给予价格评审优惠，即对该供应商提供的全部产品的总报价给予20%的价格扣除，用扣除后的价格参与评审。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color w:val="auto"/>
          <w:szCs w:val="24"/>
          <w:highlight w:val="none"/>
        </w:rPr>
        <w:t xml:space="preserve">供应商未填写比例数值，或比例数值未达到</w:t>
      </w:r>
      <w:r>
        <w:rPr>
          <w:rFonts w:hint="eastAsia" w:ascii="宋体" w:hAnsi="宋体" w:eastAsia="宋体" w:cs="宋体"/>
          <w:b/>
          <w:color w:val="auto"/>
          <w:szCs w:val="24"/>
          <w:highlight w:val="none"/>
          <w:u w:val="single"/>
        </w:rPr>
        <w:t xml:space="preserve">80%</w:t>
      </w:r>
      <w:r>
        <w:rPr>
          <w:rFonts w:hint="eastAsia" w:ascii="宋体" w:hAnsi="宋体" w:eastAsia="宋体" w:cs="宋体"/>
          <w:b/>
          <w:color w:val="auto"/>
          <w:szCs w:val="24"/>
          <w:highlight w:val="none"/>
        </w:rPr>
        <w:t xml:space="preserve">的，将不享受本国产品价格评审优惠。</w:t>
      </w:r>
      <w:r/>
    </w:p>
    <w:p>
      <w:pPr>
        <w:numPr>
          <w:ilvl w:val="0"/>
          <w:numId w:val="19"/>
        </w:numPr>
        <w:jc w:val="left"/>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Cs w:val="24"/>
          <w:highlight w:val="none"/>
        </w:rPr>
        <w:t xml:space="preserve">如不提供或提供不符要求的将不享受本国产品价格评审优惠。</w:t>
      </w:r>
      <w:r/>
    </w:p>
    <w:p>
      <w:pPr>
        <w:numPr>
          <w:ilvl w:val="0"/>
          <w:numId w:val="19"/>
        </w:numPr>
        <w:jc w:val="left"/>
        <w:spacing w:line="400" w:lineRule="exact"/>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供应商需在《声明函》中逐一、准确填写产品名称、厂名、生产厂址三项信息</w:t>
      </w:r>
      <w:r>
        <w:rPr>
          <w:rFonts w:hint="eastAsia" w:ascii="宋体" w:hAnsi="宋体" w:eastAsia="宋体" w:cs="宋体"/>
          <w:color w:val="auto"/>
          <w:szCs w:val="21"/>
          <w:highlight w:val="none"/>
        </w:rPr>
        <w:t xml:space="preserve">（《声明函》中标注</w:t>
      </w:r>
      <w:r>
        <w:rPr>
          <w:rFonts w:hint="eastAsia" w:ascii="宋体" w:hAnsi="宋体" w:eastAsia="宋体" w:cs="宋体"/>
          <w:color w:val="auto"/>
          <w:szCs w:val="21"/>
          <w:highlight w:val="none"/>
          <w:lang w:val="en-US" w:eastAsia="zh-CN"/>
        </w:rPr>
        <w:t xml:space="preserve">横线划除</w:t>
      </w:r>
      <w:r>
        <w:rPr>
          <w:rFonts w:hint="eastAsia" w:ascii="宋体" w:hAnsi="宋体" w:eastAsia="宋体" w:cs="宋体"/>
          <w:color w:val="auto"/>
          <w:szCs w:val="21"/>
          <w:highlight w:val="none"/>
        </w:rPr>
        <w:t xml:space="preserve">的地方无需填写）</w:t>
      </w:r>
      <w:r>
        <w:rPr>
          <w:rFonts w:hint="eastAsia" w:ascii="宋体" w:hAnsi="宋体" w:eastAsia="宋体" w:cs="宋体"/>
          <w:color w:val="auto"/>
          <w:szCs w:val="24"/>
          <w:highlight w:val="none"/>
        </w:rPr>
        <w:t xml:space="preserve">，</w:t>
      </w:r>
      <w:r>
        <w:rPr>
          <w:rFonts w:hint="eastAsia" w:ascii="宋体" w:hAnsi="宋体" w:eastAsia="宋体" w:cs="宋体"/>
          <w:b/>
          <w:color w:val="auto"/>
          <w:szCs w:val="24"/>
          <w:highlight w:val="none"/>
        </w:rPr>
        <w:t xml:space="preserve">三项信息中任意一项未填写的视为该项产品不符合本国产品标准，不享受本国产品价格评审优惠。</w:t>
      </w:r>
      <w:r/>
    </w:p>
    <w:p>
      <w:pPr>
        <w:numPr>
          <w:ilvl w:val="0"/>
          <w:numId w:val="19"/>
        </w:numPr>
        <w:jc w:val="left"/>
        <w:spacing w:line="400" w:lineRule="exac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Cs w:val="24"/>
          <w:highlight w:val="none"/>
        </w:rPr>
        <w:t xml:space="preserve">供应商提供的相关产品视为不符合本国产品标准。</w:t>
      </w:r>
      <w:bookmarkEnd w:id="3"/>
      <w:r/>
      <w:bookmarkEnd w:id="4"/>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针对小微企业、监狱企业及残疾人企业的评审：</w:t>
      </w:r>
      <w:r/>
    </w:p>
    <w:p>
      <w:pPr>
        <w:numPr>
          <w:ilvl w:val="0"/>
          <w:numId w:val="20"/>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（财库〔2022〕19号）等文件的精神，对属于小微企业、监狱企业、残疾人企业价格评审做如下约定：</w:t>
      </w:r>
      <w:r/>
    </w:p>
    <w:p>
      <w:pPr>
        <w:numPr>
          <w:ilvl w:val="0"/>
          <w:numId w:val="21"/>
        </w:numPr>
        <w:spacing w:line="400" w:lineRule="exact"/>
        <w:tabs>
          <w:tab w:val="left" w:pos="640" w:leader="none"/>
        </w:tabs>
        <w:rPr>
          <w:rFonts w:ascii="宋体" w:hAnsi="宋体" w:cs="宋体"/>
          <w:color w:val="auto"/>
          <w:highlight w:val="none"/>
        </w:rPr>
      </w:pP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rPr>
        <w:t xml:space="preserve">标段：</w:t>
      </w:r>
      <w:r>
        <w:rPr>
          <w:rFonts w:hint="eastAsia" w:ascii="宋体" w:hAnsi="宋体" w:cs="宋体"/>
          <w:color w:val="auto"/>
          <w:highlight w:val="none"/>
        </w:rPr>
        <w:t xml:space="preserve">对属于小微企业、监狱企业、残疾人企业给予价格评审加分。供应商所响应货物全部由中小企业制造即可享受中小企业扶持政策，其中所响应货物由小微企业、监狱企业、残疾人企业制造的，其价格在评审时给予 20%的扣除，用扣除后的价</w:t>
      </w:r>
      <w:r>
        <w:rPr>
          <w:rFonts w:hint="eastAsia" w:ascii="宋体" w:hAnsi="宋体" w:cs="宋体"/>
          <w:color w:val="auto"/>
          <w:highlight w:val="none"/>
        </w:rPr>
        <w:t xml:space="preserve">格参与评审。如扣除后的价格为最低价的，则作为评审基准价，若最后成交，成交价格则以实际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numPr>
          <w:ilvl w:val="0"/>
          <w:numId w:val="21"/>
        </w:numPr>
        <w:spacing w:line="400" w:lineRule="exact"/>
        <w:tabs>
          <w:tab w:val="left" w:pos="540" w:leader="none"/>
        </w:tabs>
        <w:rPr>
          <w:rFonts w:ascii="宋体" w:hAnsi="宋体" w:cs="宋体"/>
          <w:color w:val="auto"/>
          <w:highlight w:val="none"/>
        </w:rPr>
      </w:pPr>
      <w:r>
        <w:rPr>
          <w:rFonts w:hint="eastAsia" w:ascii="宋体" w:hAnsi="宋体" w:cs="宋体"/>
          <w:b/>
          <w:bCs/>
          <w:color w:val="auto"/>
          <w:highlight w:val="none"/>
        </w:rPr>
        <w:t xml:space="preserve">其余标段：</w:t>
      </w:r>
      <w:r>
        <w:rPr>
          <w:rFonts w:hint="eastAsia" w:ascii="宋体" w:hAnsi="宋体" w:cs="宋体"/>
          <w:color w:val="auto"/>
          <w:highlight w:val="none"/>
        </w:rPr>
        <w:t xml:space="preserve">因其余专门面向中小企业采购，故不再执行价格评审优惠的扶持政策。供应商必须按要求提供《中小企业声明函》或《残疾人福利性单位声明函》或由省级以上监狱管理局、戒毒管理局（含新疆生产建设兵团）出具的属于监狱企业的证明文件。</w:t>
      </w:r>
      <w:r/>
    </w:p>
    <w:p>
      <w:pPr>
        <w:numPr>
          <w:ilvl w:val="0"/>
          <w:numId w:val="20"/>
        </w:numPr>
        <w:spacing w:line="400" w:lineRule="exact"/>
        <w:tabs>
          <w:tab w:val="left" w:pos="640" w:leader="none"/>
        </w:tabs>
        <w:rPr>
          <w:rFonts w:ascii="宋体" w:hAnsi="宋体" w:cs="宋体"/>
          <w:color w:val="auto"/>
          <w:highlight w:val="none"/>
        </w:rPr>
      </w:pPr>
      <w:r>
        <w:rPr>
          <w:rFonts w:hint="eastAsia" w:ascii="宋体"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color w:val="auto"/>
          <w:highlight w:val="none"/>
          <w:lang w:val="zh-CN"/>
        </w:rPr>
        <w:t xml:space="preserve">中小微企业划型标准根据《中小企业划型标准规定》（工信部联企业【2011】300号）</w:t>
      </w:r>
      <w:r>
        <w:rPr>
          <w:rFonts w:hint="eastAsia" w:ascii="宋体" w:hAnsi="宋体" w:cs="宋体"/>
          <w:color w:val="auto"/>
          <w:highlight w:val="none"/>
        </w:rPr>
        <w:t xml:space="preserve">。</w:t>
      </w:r>
      <w:r/>
    </w:p>
    <w:p>
      <w:pPr>
        <w:numPr>
          <w:ilvl w:val="0"/>
          <w:numId w:val="7"/>
        </w:num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关于对参与供应商信用记录的政府采购要求：</w:t>
      </w:r>
      <w:r/>
    </w:p>
    <w:p>
      <w:pPr>
        <w:numPr>
          <w:ilvl w:val="0"/>
          <w:numId w:val="22"/>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采购代理机构会在接收投标文件截止时间后，在信用中国等网站输入供应商全称或统一社会信用代码查询信用记录，并将查询结果递交评审小组。</w:t>
      </w:r>
      <w:r/>
    </w:p>
    <w:p>
      <w:pPr>
        <w:numPr>
          <w:ilvl w:val="0"/>
          <w:numId w:val="22"/>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23"/>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政府采购严重违法记录，即供应商被全国各级财政部门列入“政府采购严重违法失信行为记录名单”，且在处罚有效期内的。</w:t>
      </w:r>
      <w:r/>
    </w:p>
    <w:p>
      <w:pPr>
        <w:numPr>
          <w:ilvl w:val="0"/>
          <w:numId w:val="23"/>
        </w:numPr>
        <w:contextualSpacing/>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财政部门与法院、市监、税务等部门联合惩戒的失信信息，包括：</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 被列入失信被执行人名单；</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 被列入重大税收违法案件当事人名单；</w:t>
      </w:r>
      <w:r/>
    </w:p>
    <w:p>
      <w:pPr>
        <w:contextualSpacing/>
        <w:ind w:left="567"/>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22"/>
        </w:numPr>
        <w:spacing w:line="400" w:lineRule="exact"/>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7"/>
        </w:numPr>
        <w:contextualSpacing/>
        <w:spacing w:line="400" w:lineRule="exact"/>
        <w:tabs>
          <w:tab w:val="left" w:pos="0" w:leader="none"/>
        </w:tabs>
        <w:rPr>
          <w:rFonts w:ascii="宋体" w:hAnsi="宋体" w:cs="宋体"/>
          <w:b/>
          <w:color w:val="auto"/>
          <w:highlight w:val="none"/>
        </w:rPr>
      </w:pPr>
      <w:r>
        <w:rPr>
          <w:rFonts w:hint="eastAsia" w:ascii="宋体" w:hAnsi="宋体" w:cs="宋体"/>
          <w:b/>
          <w:color w:val="auto"/>
          <w:highlight w:val="none"/>
        </w:rPr>
        <w:t xml:space="preserve">凡涉及采购文件的补充说明和修改，均以发布媒体上公示的通知为准。</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cs="宋体"/>
          <w:b/>
          <w:color w:val="auto"/>
          <w:szCs w:val="21"/>
          <w:highlight w:val="none"/>
        </w:rPr>
        <w:t xml:space="preserve">谈判</w:t>
      </w:r>
      <w:r>
        <w:rPr>
          <w:rFonts w:hint="eastAsia" w:ascii="宋体" w:hAnsi="宋体"/>
          <w:b/>
          <w:color w:val="auto"/>
          <w:szCs w:val="21"/>
          <w:highlight w:val="none"/>
        </w:rPr>
        <w:t xml:space="preserve">响应文件的组成及要求：</w:t>
      </w:r>
      <w:r/>
    </w:p>
    <w:p>
      <w:pPr>
        <w:contextualSpacing/>
        <w:spacing w:line="400" w:lineRule="exact"/>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（一）文件组成：</w:t>
      </w:r>
      <w:r/>
    </w:p>
    <w:p>
      <w:pPr>
        <w:numPr>
          <w:ilvl w:val="0"/>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响应文件封面；</w:t>
      </w:r>
      <w:r/>
    </w:p>
    <w:p>
      <w:pPr>
        <w:numPr>
          <w:ilvl w:val="0"/>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谈判报价表；</w:t>
      </w:r>
      <w:r/>
    </w:p>
    <w:p>
      <w:pPr>
        <w:numPr>
          <w:ilvl w:val="0"/>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谈判报价分项明细表；</w:t>
      </w:r>
      <w:r/>
    </w:p>
    <w:p>
      <w:pPr>
        <w:numPr>
          <w:ilvl w:val="0"/>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其他针对本次</w:t>
      </w:r>
      <w:r>
        <w:rPr>
          <w:rFonts w:hint="eastAsia" w:ascii="宋体" w:hAnsi="宋体"/>
          <w:color w:val="auto"/>
          <w:szCs w:val="21"/>
          <w:highlight w:val="none"/>
          <w:lang w:val="en-US" w:eastAsia="zh-CN"/>
        </w:rPr>
        <w:t xml:space="preserve">谈判</w:t>
      </w:r>
      <w:r>
        <w:rPr>
          <w:rFonts w:hint="eastAsia" w:ascii="宋体" w:hAnsi="宋体"/>
          <w:color w:val="auto"/>
          <w:szCs w:val="21"/>
          <w:highlight w:val="none"/>
        </w:rPr>
        <w:t xml:space="preserve">的详细说明；</w:t>
      </w:r>
      <w:r/>
    </w:p>
    <w:p>
      <w:pPr>
        <w:numPr>
          <w:ilvl w:val="1"/>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无对应模块上传的响应文件内容可传至此，含“四、附件”中部分表格、内容。</w:t>
      </w:r>
      <w:r/>
    </w:p>
    <w:p>
      <w:pPr>
        <w:numPr>
          <w:ilvl w:val="0"/>
          <w:numId w:val="24"/>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资格</w:t>
      </w:r>
      <w:r>
        <w:rPr>
          <w:rFonts w:hint="eastAsia" w:ascii="宋体" w:hAnsi="宋体"/>
          <w:b/>
          <w:bCs/>
          <w:color w:val="auto"/>
          <w:highlight w:val="none"/>
        </w:rPr>
        <w:t xml:space="preserve">审查响应文件：</w:t>
      </w:r>
      <w:r/>
    </w:p>
    <w:p>
      <w:pPr>
        <w:numPr>
          <w:ilvl w:val="1"/>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谈判响应承诺书；</w:t>
      </w:r>
      <w:r/>
    </w:p>
    <w:p>
      <w:pPr>
        <w:numPr>
          <w:ilvl w:val="1"/>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1"/>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lang w:val="zh-CN"/>
        </w:rPr>
        <w:t xml:space="preserve">供应商法定代表人</w:t>
      </w:r>
      <w:r>
        <w:rPr>
          <w:rFonts w:hint="eastAsia" w:ascii="宋体" w:hAnsi="宋体"/>
          <w:color w:val="auto"/>
          <w:szCs w:val="21"/>
          <w:highlight w:val="none"/>
        </w:rPr>
        <w:t xml:space="preserve">身份证复印件；</w:t>
      </w:r>
      <w:r/>
    </w:p>
    <w:p>
      <w:pPr>
        <w:numPr>
          <w:ilvl w:val="1"/>
          <w:numId w:val="24"/>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法定代表人授权委托书、供应商代理人身份证复印件（如有授权）；</w:t>
      </w:r>
      <w:r/>
    </w:p>
    <w:p>
      <w:pPr>
        <w:numPr>
          <w:ilvl w:val="1"/>
          <w:numId w:val="24"/>
        </w:numPr>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供应商参加政</w:t>
      </w:r>
      <w:r>
        <w:rPr>
          <w:rFonts w:hint="eastAsia" w:ascii="宋体" w:hAnsi="宋体"/>
          <w:color w:val="auto"/>
          <w:highlight w:val="none"/>
        </w:rPr>
        <w:t xml:space="preserve">府采购活动应当具备的条件（提供复印件）：</w:t>
      </w:r>
      <w:r/>
    </w:p>
    <w:p>
      <w:pPr>
        <w:numPr>
          <w:ilvl w:val="0"/>
          <w:numId w:val="25"/>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具有独立承担民事责任的能力（提供响应单位法人或者其他组织的营业执照等证明文件，自然人的身份证明）；</w:t>
      </w:r>
      <w:r/>
    </w:p>
    <w:p>
      <w:pPr>
        <w:numPr>
          <w:ilvl w:val="0"/>
          <w:numId w:val="25"/>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具有良好的商业信誉和健全的财务会计制度（提供响应单位参加本次政府采购前的财务报表或银行出具的资信证明）；</w:t>
      </w:r>
      <w:r/>
    </w:p>
    <w:p>
      <w:pPr>
        <w:numPr>
          <w:ilvl w:val="0"/>
          <w:numId w:val="25"/>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具有履行合同所必需的设备和专业技术能力（企业法人性质的政府采购供应商应在经工商管理部门核准登记注册的经营范围内参与经营活动，提供具有履行合同所必需的设备和专业技术能力的证明材料）；</w:t>
      </w:r>
      <w:r/>
    </w:p>
    <w:p>
      <w:pPr>
        <w:numPr>
          <w:ilvl w:val="0"/>
          <w:numId w:val="25"/>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有依法缴纳税收和社会保障资金的良好记录（应商参加本次政府采购活动前半年内（至少一个月）依法缴纳税收和社会保险的凭据）；</w:t>
      </w:r>
      <w:r/>
    </w:p>
    <w:p>
      <w:pPr>
        <w:numPr>
          <w:ilvl w:val="0"/>
          <w:numId w:val="25"/>
        </w:numPr>
        <w:contextualSpacing/>
        <w:spacing w:line="400" w:lineRule="exact"/>
        <w:tabs>
          <w:tab w:val="left" w:pos="0" w:leader="none"/>
        </w:tabs>
        <w:rPr>
          <w:rFonts w:ascii="宋体" w:hAnsi="宋体"/>
          <w:color w:val="auto"/>
          <w:highlight w:val="none"/>
        </w:rPr>
      </w:pPr>
      <w:r>
        <w:rPr>
          <w:rFonts w:hint="eastAsia" w:ascii="宋体" w:hAnsi="宋体"/>
          <w:color w:val="auto"/>
          <w:highlight w:val="none"/>
        </w:rPr>
        <w:t xml:space="preserve">参加政府采购活动前三年内，在经营活动中没有出现重大违法记录（提供书面声明）；</w:t>
      </w:r>
      <w:r/>
    </w:p>
    <w:p>
      <w:pPr>
        <w:numPr>
          <w:ilvl w:val="0"/>
          <w:numId w:val="24"/>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符合</w:t>
      </w:r>
      <w:r>
        <w:rPr>
          <w:rFonts w:hint="eastAsia"/>
          <w:b/>
          <w:bCs/>
          <w:color w:val="auto"/>
          <w:highlight w:val="none"/>
        </w:rPr>
        <w:t xml:space="preserve">性审查响应文件</w:t>
      </w:r>
      <w:r>
        <w:rPr>
          <w:rFonts w:hint="eastAsia" w:ascii="宋体" w:hAnsi="宋体"/>
          <w:b/>
          <w:bCs/>
          <w:color w:val="auto"/>
          <w:highlight w:val="none"/>
        </w:rPr>
        <w:t xml:space="preserve">：</w:t>
      </w:r>
      <w:r/>
    </w:p>
    <w:p>
      <w:pPr>
        <w:numPr>
          <w:ilvl w:val="1"/>
          <w:numId w:val="24"/>
        </w:numPr>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响</w:t>
      </w:r>
      <w:r>
        <w:rPr>
          <w:rFonts w:hint="eastAsia" w:ascii="宋体" w:hAnsi="宋体"/>
          <w:color w:val="auto"/>
          <w:szCs w:val="21"/>
          <w:highlight w:val="none"/>
        </w:rPr>
        <w:t xml:space="preserve">应货物的数量、品牌、规格、技术参数、指标、质量要求、偏离说明等；</w:t>
      </w:r>
      <w:r/>
    </w:p>
    <w:p>
      <w:pPr>
        <w:numPr>
          <w:ilvl w:val="1"/>
          <w:numId w:val="24"/>
        </w:numPr>
        <w:spacing w:line="400" w:lineRule="exact"/>
        <w:tabs>
          <w:tab w:val="left" w:pos="540" w:leader="none"/>
        </w:tabs>
        <w:rPr>
          <w:rFonts w:ascii="宋体" w:hAnsi="宋体" w:cs="宋体"/>
          <w:color w:val="auto"/>
          <w:szCs w:val="21"/>
          <w:highlight w:val="none"/>
        </w:rPr>
      </w:pPr>
      <w:r>
        <w:rPr>
          <w:rFonts w:hint="eastAsia" w:ascii="宋体" w:hAnsi="宋体"/>
          <w:color w:val="auto"/>
          <w:szCs w:val="21"/>
          <w:highlight w:val="none"/>
        </w:rPr>
        <w:t xml:space="preserve">响应单位须按</w:t>
      </w:r>
      <w:r>
        <w:rPr>
          <w:rFonts w:hint="eastAsia" w:ascii="宋体" w:hAnsi="宋体" w:cs="宋体"/>
          <w:color w:val="auto"/>
          <w:szCs w:val="21"/>
          <w:highlight w:val="none"/>
        </w:rPr>
        <w:t xml:space="preserve">采购需求“详细技术参数、指标要求”中打“★”项要求提供符合要求的相应证明材料，否则视为非实质性响应。</w:t>
      </w:r>
      <w:r/>
    </w:p>
    <w:p>
      <w:pPr>
        <w:numPr>
          <w:ilvl w:val="1"/>
          <w:numId w:val="24"/>
        </w:numPr>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履约交付、质保、售后、服务响应等的书面服务承诺；</w:t>
      </w:r>
      <w:r/>
    </w:p>
    <w:p>
      <w:pPr>
        <w:numPr>
          <w:ilvl w:val="1"/>
          <w:numId w:val="24"/>
        </w:numPr>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其他需供应商对本次响应作出的详细说明、承诺等；</w:t>
      </w:r>
      <w:r/>
    </w:p>
    <w:p>
      <w:pPr>
        <w:numPr>
          <w:ilvl w:val="0"/>
          <w:numId w:val="24"/>
        </w:numPr>
        <w:spacing w:line="400" w:lineRule="exact"/>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企业报价折扣证明：</w:t>
      </w:r>
      <w:r/>
    </w:p>
    <w:p>
      <w:pPr>
        <w:numPr>
          <w:ilvl w:val="1"/>
          <w:numId w:val="24"/>
        </w:numPr>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属于中型企业或小型企业或微型企业或残疾人企业或监狱企业的相关材料。</w:t>
      </w:r>
      <w:r/>
    </w:p>
    <w:p>
      <w:pPr>
        <w:contextualSpacing/>
        <w:spacing w:line="400" w:lineRule="exact"/>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（二）电子投标（响应）文件的编制与提交 </w:t>
      </w:r>
      <w:r/>
    </w:p>
    <w:p>
      <w:pPr>
        <w:numPr>
          <w:ilvl w:val="0"/>
          <w:numId w:val="26"/>
        </w:numPr>
        <w:spacing w:line="400" w:lineRule="exact"/>
        <w:tabs>
          <w:tab w:val="left" w:pos="540" w:leader="none"/>
        </w:tabs>
        <w:rPr>
          <w:rFonts w:ascii="宋体" w:hAnsi="宋体"/>
          <w:color w:val="auto"/>
          <w:szCs w:val="21"/>
          <w:highlight w:val="none"/>
        </w:rPr>
      </w:pPr>
      <w:r>
        <w:rPr>
          <w:rFonts w:hint="eastAsia" w:ascii="宋体" w:hAnsi="宋体" w:cs="宋体"/>
          <w:color w:val="auto"/>
          <w:szCs w:val="21"/>
          <w:highlight w:val="none"/>
        </w:rPr>
        <w:t xml:space="preserve">电子响应文件按上述文件组成统一顺序、统一</w:t>
      </w:r>
      <w:r>
        <w:rPr>
          <w:rFonts w:hint="eastAsia" w:ascii="宋体" w:hAnsi="宋体"/>
          <w:color w:val="auto"/>
          <w:szCs w:val="21"/>
          <w:highlight w:val="none"/>
        </w:rPr>
        <w:t xml:space="preserve">格式编写。</w:t>
      </w:r>
      <w:r/>
    </w:p>
    <w:p>
      <w:pPr>
        <w:numPr>
          <w:ilvl w:val="0"/>
          <w:numId w:val="2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电子投标（响应）文件制作：本项目采用电子网上招投标，请供应商插入CA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numPr>
          <w:ilvl w:val="0"/>
          <w:numId w:val="2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numPr>
          <w:ilvl w:val="0"/>
          <w:numId w:val="2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0"/>
          <w:numId w:val="2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0"/>
          <w:numId w:val="2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电子投标文件中的资料应按采购文件的要求加盖投标人的电子签章或公章。</w:t>
      </w:r>
      <w:r/>
    </w:p>
    <w:p>
      <w:pPr>
        <w:numPr>
          <w:ilvl w:val="0"/>
          <w:numId w:val="26"/>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w:t>
      </w:r>
      <w:r>
        <w:rPr>
          <w:rFonts w:hint="eastAsia" w:ascii="宋体" w:hAnsi="宋体"/>
          <w:b/>
          <w:color w:val="auto"/>
          <w:highlight w:val="none"/>
        </w:rPr>
        <w:t xml:space="preserve">综合</w:t>
      </w:r>
      <w:r>
        <w:rPr>
          <w:rFonts w:hint="eastAsia" w:ascii="宋体" w:hAnsi="宋体"/>
          <w:b/>
          <w:color w:val="auto"/>
          <w:szCs w:val="21"/>
          <w:highlight w:val="none"/>
        </w:rPr>
        <w:t xml:space="preserve">说明：</w:t>
      </w:r>
      <w:r/>
    </w:p>
    <w:p>
      <w:pPr>
        <w:numPr>
          <w:ilvl w:val="0"/>
          <w:numId w:val="27"/>
        </w:numPr>
        <w:contextualSpacing/>
        <w:spacing w:line="400" w:lineRule="exact"/>
        <w:tabs>
          <w:tab w:val="left" w:pos="0" w:leader="none"/>
        </w:tabs>
        <w:rPr>
          <w:rFonts w:ascii="宋体" w:hAnsi="宋体"/>
          <w:color w:val="auto"/>
          <w:highlight w:val="none"/>
        </w:rPr>
      </w:pPr>
      <w:r>
        <w:rPr>
          <w:rFonts w:ascii="宋体" w:hAnsi="宋体"/>
          <w:color w:val="auto"/>
          <w:highlight w:val="none"/>
        </w:rPr>
        <w:t xml:space="preserve">本次</w:t>
      </w:r>
      <w:r>
        <w:rPr>
          <w:rFonts w:hint="eastAsia" w:ascii="宋体" w:hAnsi="宋体"/>
          <w:color w:val="auto"/>
          <w:highlight w:val="none"/>
        </w:rPr>
        <w:t xml:space="preserve">竞争性谈判分为六个标段</w:t>
      </w:r>
      <w:r>
        <w:rPr>
          <w:rFonts w:ascii="宋体" w:hAnsi="宋体"/>
          <w:color w:val="auto"/>
          <w:highlight w:val="none"/>
        </w:rPr>
        <w:t xml:space="preserve">，各供应商须对</w:t>
      </w:r>
      <w:r>
        <w:rPr>
          <w:rFonts w:hint="eastAsia" w:ascii="宋体" w:hAnsi="宋体"/>
          <w:color w:val="auto"/>
          <w:highlight w:val="none"/>
        </w:rPr>
        <w:t xml:space="preserve">所响应标段内</w:t>
      </w:r>
      <w:r>
        <w:rPr>
          <w:rFonts w:ascii="宋体" w:hAnsi="宋体"/>
          <w:color w:val="auto"/>
          <w:highlight w:val="none"/>
        </w:rPr>
        <w:t xml:space="preserve">全部内容进行响应，只报</w:t>
      </w:r>
      <w:r>
        <w:rPr>
          <w:rFonts w:hint="eastAsia" w:ascii="宋体" w:hAnsi="宋体"/>
          <w:color w:val="auto"/>
          <w:highlight w:val="none"/>
        </w:rPr>
        <w:t xml:space="preserve">标段内</w:t>
      </w:r>
      <w:r>
        <w:rPr>
          <w:rFonts w:ascii="宋体" w:hAnsi="宋体"/>
          <w:color w:val="auto"/>
          <w:highlight w:val="none"/>
        </w:rPr>
        <w:t xml:space="preserve">其中部分内容的，为无效报价，并不得出现选择性报价。</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highlight w:val="none"/>
        </w:rPr>
        <w:t xml:space="preserve">供应商必须承诺谈判采购文件提出的全部要求，如果以其中某些条款不响应时，必须在文件中列出。</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color w:val="auto"/>
          <w:highlight w:val="none"/>
        </w:rPr>
        <w:t xml:space="preserve">谈判</w:t>
      </w:r>
      <w:r>
        <w:rPr>
          <w:rFonts w:hint="eastAsia"/>
          <w:color w:val="auto"/>
          <w:szCs w:val="21"/>
          <w:highlight w:val="none"/>
        </w:rPr>
        <w:t xml:space="preserve">保证金：本项目不收取谈判保证金。</w:t>
      </w:r>
      <w:r/>
    </w:p>
    <w:p>
      <w:pPr>
        <w:numPr>
          <w:ilvl w:val="0"/>
          <w:numId w:val="27"/>
        </w:numPr>
        <w:contextualSpacing/>
        <w:spacing w:line="400" w:lineRule="exact"/>
        <w:tabs>
          <w:tab w:val="left" w:pos="0" w:leader="none"/>
        </w:tabs>
        <w:rPr>
          <w:rFonts w:hint="eastAsia" w:ascii="宋体" w:hAnsi="宋体" w:eastAsia="宋体" w:cs="宋体"/>
          <w:color w:val="auto"/>
          <w:highlight w:val="none"/>
        </w:rPr>
      </w:pPr>
      <w:r>
        <w:rPr>
          <w:rFonts w:hint="eastAsia" w:ascii="宋体" w:hAnsi="宋体"/>
          <w:color w:val="auto"/>
          <w:highlight w:val="none"/>
          <w:lang w:val="en-US" w:eastAsia="zh-CN"/>
        </w:rPr>
        <w:t xml:space="preserve">代</w:t>
      </w:r>
      <w:r>
        <w:rPr>
          <w:rFonts w:hint="eastAsia" w:ascii="宋体" w:hAnsi="宋体" w:eastAsia="宋体" w:cs="宋体"/>
          <w:color w:val="auto"/>
          <w:highlight w:val="none"/>
          <w:lang w:val="en-US" w:eastAsia="zh-CN"/>
        </w:rPr>
        <w:t xml:space="preserve">理</w:t>
      </w:r>
      <w:r>
        <w:rPr>
          <w:rFonts w:hint="eastAsia" w:ascii="宋体" w:hAnsi="宋体" w:eastAsia="宋体" w:cs="宋体"/>
          <w:color w:val="auto"/>
          <w:highlight w:val="none"/>
        </w:rPr>
        <w:t xml:space="preserve">服务费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按苏财购告【2016】31号规定的收费标准，领取成交通知书时成交人向采购代理机构一次性付清。预算金额100万以下费率为预算金额的1.5%，预算金额100-500万部分费率为预算金额的1.1%。</w:t>
      </w:r>
      <w:r/>
    </w:p>
    <w:p>
      <w:pPr>
        <w:contextualSpacing/>
        <w:ind w:left="567"/>
        <w:spacing w:line="40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服务费交纳账户：苏州市原鑫招投标咨询服务有限公司</w:t>
      </w:r>
      <w:r/>
    </w:p>
    <w:p>
      <w:pPr>
        <w:contextualSpacing/>
        <w:ind w:left="567"/>
        <w:spacing w:line="40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账号：543058193738</w:t>
      </w:r>
      <w:r/>
    </w:p>
    <w:p>
      <w:pPr>
        <w:pStyle w:val="971"/>
        <w:contextualSpacing/>
        <w:ind w:left="567"/>
        <w:spacing w:line="400" w:lineRule="exact"/>
        <w:tabs>
          <w:tab w:val="left" w:pos="0" w:leader="none"/>
          <w:tab w:val="clear"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开户银行：中行南园支行</w:t>
      </w:r>
      <w:r/>
    </w:p>
    <w:p>
      <w:pPr>
        <w:numPr>
          <w:ilvl w:val="0"/>
          <w:numId w:val="27"/>
        </w:numPr>
        <w:contextualSpacing/>
        <w:spacing w:line="400" w:lineRule="exact"/>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专家评审费：本项目专家评审费由采购人根据苏州市专家评审费标准的通知支付，金额为500元/人。</w:t>
      </w:r>
      <w:r/>
    </w:p>
    <w:p>
      <w:pPr>
        <w:numPr>
          <w:ilvl w:val="0"/>
          <w:numId w:val="27"/>
        </w:numPr>
        <w:contextualSpacing/>
        <w:spacing w:line="40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rPr>
          <w:rFonts w:hint="eastAsia" w:ascii="宋体" w:hAnsi="宋体" w:eastAsia="宋体" w:cs="宋体"/>
          <w:color w:val="auto"/>
          <w:highlight w:val="none"/>
        </w:rPr>
        <w:t xml:space="preserve">本项目不</w:t>
      </w:r>
      <w:r>
        <w:rPr>
          <w:rFonts w:hint="eastAsia" w:ascii="宋体" w:hAnsi="宋体" w:eastAsia="宋体" w:cs="宋体"/>
          <w:color w:val="auto"/>
          <w:szCs w:val="21"/>
          <w:highlight w:val="none"/>
        </w:rPr>
        <w:t xml:space="preserve">收取</w:t>
      </w:r>
      <w:r>
        <w:rPr>
          <w:rFonts w:hint="eastAsia" w:ascii="宋体" w:hAnsi="宋体" w:eastAsia="宋体" w:cs="宋体"/>
          <w:color w:val="auto"/>
          <w:highlight w:val="none"/>
        </w:rPr>
        <w:t xml:space="preserve">履约保证金。</w:t>
      </w:r>
      <w:r/>
    </w:p>
    <w:p>
      <w:pPr>
        <w:numPr>
          <w:ilvl w:val="0"/>
          <w:numId w:val="28"/>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潜在响应单位如另有需要的，可参考下述相关政策内容：</w:t>
      </w:r>
      <w:r/>
    </w:p>
    <w:p>
      <w:pPr>
        <w:pStyle w:val="971"/>
        <w:contextualSpacing/>
        <w:ind w:left="567"/>
        <w:spacing w:line="400" w:lineRule="exact"/>
        <w:tabs>
          <w:tab w:val="left" w:pos="0" w:leader="none"/>
          <w:tab w:val="clear" w:pos="630" w:leader="none"/>
        </w:tabs>
        <w:rPr>
          <w:color w:val="auto"/>
          <w:highlight w:val="none"/>
        </w:rPr>
      </w:pPr>
      <w:r>
        <w:rPr>
          <w:rFonts w:hint="eastAsia"/>
          <w:color w:val="auto"/>
          <w:highlight w:val="none"/>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numPr>
          <w:ilvl w:val="0"/>
          <w:numId w:val="28"/>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color w:val="auto"/>
          <w:highlight w:val="none"/>
        </w:rPr>
        <w:t xml:space="preserve">具体操作方式详见：江苏政府采购网“资料下载”栏目（网址：www.ccgp-jiangsu.gov.cn/jiangsu/zlxz）下载“政府采购电子履约保函（保险）操作手册”。</w:t>
      </w:r>
      <w:r/>
    </w:p>
    <w:p>
      <w:pPr>
        <w:numPr>
          <w:ilvl w:val="0"/>
          <w:numId w:val="27"/>
        </w:numPr>
        <w:contextualSpacing/>
        <w:spacing w:line="400" w:lineRule="exact"/>
        <w:tabs>
          <w:tab w:val="left" w:pos="0" w:leader="none"/>
        </w:tabs>
        <w:rPr>
          <w:rFonts w:ascii="宋体" w:hAnsi="宋体"/>
          <w:color w:val="auto"/>
          <w:szCs w:val="21"/>
          <w:highlight w:val="none"/>
        </w:rPr>
      </w:pPr>
      <w:r>
        <w:rPr>
          <w:rFonts w:ascii="宋体" w:hAnsi="宋体"/>
          <w:color w:val="auto"/>
          <w:highlight w:val="none"/>
        </w:rPr>
        <w:t xml:space="preserve">知识产权</w:t>
      </w:r>
      <w:r>
        <w:rPr>
          <w:rFonts w:ascii="宋体" w:hAnsi="宋体"/>
          <w:color w:val="auto"/>
          <w:szCs w:val="21"/>
          <w:highlight w:val="none"/>
        </w:rPr>
        <w:t xml:space="preserve">：</w:t>
      </w:r>
      <w:r/>
    </w:p>
    <w:p>
      <w:pPr>
        <w:contextualSpacing/>
        <w:ind w:left="567"/>
        <w:spacing w:line="400" w:lineRule="exact"/>
        <w:tabs>
          <w:tab w:val="left" w:pos="0" w:leader="none"/>
        </w:tabs>
        <w:rPr>
          <w:color w:val="auto"/>
          <w:szCs w:val="21"/>
          <w:highlight w:val="none"/>
        </w:rPr>
      </w:pPr>
      <w:r>
        <w:rPr>
          <w:color w:val="auto"/>
          <w:highlight w:val="none"/>
        </w:rPr>
        <w:t xml:space="preserve">响应单位应保证采购单位免除且响应单位承担由于采购单位在其本国使用该</w:t>
      </w:r>
      <w:r>
        <w:rPr>
          <w:rFonts w:hint="eastAsia"/>
          <w:color w:val="auto"/>
          <w:highlight w:val="none"/>
        </w:rPr>
        <w:t xml:space="preserve">设备所需的设备和设计</w:t>
      </w:r>
      <w:r>
        <w:rPr>
          <w:color w:val="auto"/>
          <w:highlight w:val="none"/>
        </w:rPr>
        <w:t xml:space="preserve">或</w:t>
      </w:r>
      <w:r>
        <w:rPr>
          <w:rFonts w:hint="eastAsia"/>
          <w:color w:val="auto"/>
          <w:highlight w:val="none"/>
        </w:rPr>
        <w:t xml:space="preserve">其</w:t>
      </w:r>
      <w:r>
        <w:rPr>
          <w:color w:val="auto"/>
          <w:highlight w:val="none"/>
        </w:rPr>
        <w:t xml:space="preserve">任何一部分时而引起第三方提出的侵犯专利权、商标权或工业设计权的起诉、行动、行政程序索赔、请求等以及采购单位为此而产生的损失和损害、费用和支出（包括律师费）。</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highlight w:val="none"/>
        </w:rPr>
        <w:t xml:space="preserve">谈判</w:t>
      </w:r>
      <w:r>
        <w:rPr>
          <w:rFonts w:hint="eastAsia" w:ascii="宋体" w:hAnsi="宋体"/>
          <w:color w:val="auto"/>
          <w:szCs w:val="21"/>
          <w:highlight w:val="none"/>
        </w:rPr>
        <w:t xml:space="preserve">说明：</w:t>
      </w:r>
      <w:r/>
    </w:p>
    <w:p>
      <w:pPr>
        <w:numPr>
          <w:ilvl w:val="0"/>
          <w:numId w:val="29"/>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不符合供应商资格要求的谈判响应文件将被拒绝；</w:t>
      </w:r>
      <w:r/>
    </w:p>
    <w:p>
      <w:pPr>
        <w:numPr>
          <w:ilvl w:val="0"/>
          <w:numId w:val="29"/>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参加谈判的供应商必须提供供应商代表的身份证明和法定代表人授权委托书（法定代表人为谈判代表的可不提供）；</w:t>
      </w:r>
      <w:r/>
    </w:p>
    <w:p>
      <w:pPr>
        <w:numPr>
          <w:ilvl w:val="0"/>
          <w:numId w:val="29"/>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谈判响应文件密封和签署不符合要求的，谈判响应文件将被拒绝；</w:t>
      </w:r>
      <w:r/>
    </w:p>
    <w:p>
      <w:pPr>
        <w:numPr>
          <w:ilvl w:val="0"/>
          <w:numId w:val="29"/>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不同投标（响应）人存在投标(响应)文件制作机器码一致的，视为无效响应； </w:t>
      </w:r>
      <w:r/>
    </w:p>
    <w:p>
      <w:pPr>
        <w:numPr>
          <w:ilvl w:val="0"/>
          <w:numId w:val="29"/>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实质性响应谈判文件不满三家、或进入二次报价的不满三家、或二次报价在采购预算内不满三家的，谈判采购失败。</w:t>
      </w:r>
      <w:r/>
    </w:p>
    <w:p>
      <w:pPr>
        <w:numPr>
          <w:ilvl w:val="0"/>
          <w:numId w:val="29"/>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最终合同单价按最终总报价同比例下（上）浮。</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项目的终止</w:t>
      </w:r>
      <w:r/>
    </w:p>
    <w:p>
      <w:pPr>
        <w:contextualSpacing/>
        <w:ind w:left="567"/>
        <w:spacing w:line="400" w:lineRule="exact"/>
        <w:tabs>
          <w:tab w:val="left" w:pos="0" w:leader="none"/>
        </w:tabs>
        <w:rPr>
          <w:rFonts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3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因情况变化，不再符合规定的竞争性谈判采购方式适用情形的；</w:t>
      </w:r>
      <w:r/>
    </w:p>
    <w:p>
      <w:pPr>
        <w:numPr>
          <w:ilvl w:val="0"/>
          <w:numId w:val="30"/>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出现影响采购公正的违法、违规行为的；</w:t>
      </w:r>
      <w:r/>
    </w:p>
    <w:p>
      <w:pPr>
        <w:numPr>
          <w:ilvl w:val="0"/>
          <w:numId w:val="30"/>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color w:val="auto"/>
          <w:highlight w:val="none"/>
        </w:rPr>
        <w:t xml:space="preserve">在采购过</w:t>
      </w:r>
      <w:r>
        <w:rPr>
          <w:rFonts w:ascii="宋体" w:hAnsi="宋体"/>
          <w:color w:val="auto"/>
          <w:szCs w:val="21"/>
          <w:highlight w:val="none"/>
        </w:rPr>
        <w:t xml:space="preserve">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27"/>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成交（未成交）通知书：</w:t>
      </w:r>
      <w:r/>
    </w:p>
    <w:p>
      <w:pPr>
        <w:numPr>
          <w:ilvl w:val="0"/>
          <w:numId w:val="31"/>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确定成交单位后在投标有效期截止前，采购代理机构将以书面形式通知成交的响应单位。</w:t>
      </w:r>
      <w:r/>
    </w:p>
    <w:p>
      <w:pPr>
        <w:numPr>
          <w:ilvl w:val="0"/>
          <w:numId w:val="31"/>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成交通知书将成为合同的组成部分。</w:t>
      </w:r>
      <w:r/>
    </w:p>
    <w:p>
      <w:pPr>
        <w:numPr>
          <w:ilvl w:val="0"/>
          <w:numId w:val="31"/>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采购人或采购代理机构对未成交单位不承担解释未成交原因的义务。</w:t>
      </w:r>
      <w:r/>
    </w:p>
    <w:p>
      <w:pPr>
        <w:numPr>
          <w:ilvl w:val="0"/>
          <w:numId w:val="31"/>
        </w:numPr>
        <w:contextualSpacing/>
        <w:spacing w:line="400" w:lineRule="exact"/>
        <w:tabs>
          <w:tab w:val="left" w:pos="0" w:leader="none"/>
          <w:tab w:val="left" w:pos="1080" w:leader="none"/>
        </w:tabs>
        <w:rPr>
          <w:rFonts w:ascii="宋体" w:hAnsi="宋体"/>
          <w:color w:val="auto"/>
          <w:highlight w:val="none"/>
        </w:rPr>
      </w:pPr>
      <w:r>
        <w:rPr>
          <w:rFonts w:hint="eastAsia" w:ascii="宋体" w:hAnsi="宋体"/>
          <w:color w:val="auto"/>
          <w:highlight w:val="none"/>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numPr>
          <w:ilvl w:val="0"/>
          <w:numId w:val="31"/>
        </w:numPr>
        <w:contextualSpacing/>
        <w:spacing w:line="400" w:lineRule="exact"/>
        <w:tabs>
          <w:tab w:val="left" w:pos="0" w:leader="none"/>
          <w:tab w:val="left" w:pos="1080" w:leader="none"/>
        </w:tabs>
        <w:rPr>
          <w:rFonts w:ascii="宋体" w:hAnsi="宋体" w:cs="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w:t>
      </w:r>
      <w:r>
        <w:rPr>
          <w:rFonts w:hint="eastAsia"/>
          <w:color w:val="auto"/>
          <w:highlight w:val="none"/>
        </w:rPr>
        <w:t xml:space="preserve">将</w:t>
      </w:r>
      <w:r>
        <w:rPr>
          <w:color w:val="auto"/>
          <w:highlight w:val="none"/>
        </w:rPr>
        <w:t xml:space="preserve">以电子邮件形式告知。未成交供应商未按约定的时间和方式获取告知信息的，视为</w:t>
      </w:r>
      <w:r>
        <w:rPr>
          <w:rFonts w:hint="eastAsia" w:ascii="宋体" w:hAnsi="宋体" w:cs="宋体"/>
          <w:color w:val="auto"/>
          <w:highlight w:val="none"/>
        </w:rPr>
        <w:t xml:space="preserve">自动放弃。</w:t>
      </w:r>
      <w:r/>
    </w:p>
    <w:p>
      <w:pPr>
        <w:numPr>
          <w:ilvl w:val="0"/>
          <w:numId w:val="27"/>
        </w:numPr>
        <w:contextualSpacing/>
        <w:spacing w:line="400" w:lineRule="exact"/>
        <w:tabs>
          <w:tab w:val="left" w:pos="0" w:leader="none"/>
        </w:tabs>
        <w:rPr>
          <w:rFonts w:ascii="宋体" w:hAnsi="宋体" w:cs="宋体"/>
          <w:b/>
          <w:bCs/>
          <w:color w:val="auto"/>
          <w:szCs w:val="21"/>
          <w:highlight w:val="none"/>
        </w:rPr>
      </w:pPr>
      <w:r>
        <w:rPr>
          <w:rFonts w:hint="eastAsia" w:ascii="宋体" w:hAnsi="宋体" w:cs="宋体"/>
          <w:color w:val="auto"/>
          <w:szCs w:val="21"/>
          <w:highlight w:val="none"/>
        </w:rPr>
        <w:t xml:space="preserve">凡</w:t>
      </w:r>
      <w:r>
        <w:rPr>
          <w:rFonts w:hint="eastAsia" w:ascii="宋体" w:hAnsi="宋体" w:cs="宋体"/>
          <w:color w:val="auto"/>
          <w:highlight w:val="none"/>
        </w:rPr>
        <w:t xml:space="preserve">涉及</w:t>
      </w:r>
      <w:r>
        <w:rPr>
          <w:rFonts w:hint="eastAsia" w:ascii="宋体" w:hAnsi="宋体" w:cs="宋体"/>
          <w:color w:val="auto"/>
          <w:szCs w:val="21"/>
          <w:highlight w:val="none"/>
        </w:rPr>
        <w:t xml:space="preserve">谈判采购文件的补充说明和修改</w:t>
      </w:r>
      <w:r>
        <w:rPr>
          <w:rFonts w:hint="eastAsia" w:ascii="宋体" w:hAnsi="宋体" w:cs="宋体"/>
          <w:color w:val="auto"/>
          <w:highlight w:val="none"/>
        </w:rPr>
        <w:t xml:space="preserve">，均以发布媒体上公示的通知为准。</w:t>
      </w:r>
      <w:r/>
    </w:p>
    <w:p>
      <w:pPr>
        <w:numPr>
          <w:ilvl w:val="0"/>
          <w:numId w:val="27"/>
        </w:numPr>
        <w:contextualSpacing/>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质疑事项</w:t>
      </w:r>
      <w:r/>
    </w:p>
    <w:p>
      <w:pPr>
        <w:numPr>
          <w:ilvl w:val="0"/>
          <w:numId w:val="32"/>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cs="宋体"/>
          <w:color w:val="auto"/>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凡是对采购文件提出质疑的供应商，请将本项目政府采购网上报名确认单与质疑函一同递交。</w:t>
      </w:r>
      <w:r/>
    </w:p>
    <w:p>
      <w:pPr>
        <w:numPr>
          <w:ilvl w:val="0"/>
          <w:numId w:val="32"/>
        </w:numPr>
        <w:contextualSpacing/>
        <w:spacing w:line="400" w:lineRule="exact"/>
        <w:tabs>
          <w:tab w:val="left" w:pos="0" w:leader="none"/>
          <w:tab w:val="left" w:pos="1080" w:leader="none"/>
        </w:tabs>
        <w:rPr>
          <w:rFonts w:ascii="宋体" w:hAnsi="宋体" w:cs="宋体"/>
          <w:bCs/>
          <w:color w:val="auto"/>
          <w:szCs w:val="21"/>
          <w:highlight w:val="none"/>
        </w:rPr>
      </w:pPr>
      <w:r>
        <w:rPr>
          <w:rFonts w:hint="eastAsia" w:ascii="宋体" w:hAnsi="宋体" w:cs="宋体"/>
          <w:color w:val="auto"/>
          <w:highlight w:val="none"/>
        </w:rPr>
        <w:t xml:space="preserve">提出质疑的供应商应当是参与所质疑项目采购活动的供应商。供应商应当在法定质疑期内一次性提出针对同一采购程序</w:t>
      </w:r>
      <w:r>
        <w:rPr>
          <w:rFonts w:hint="eastAsia" w:ascii="宋体" w:hAnsi="宋体" w:cs="宋体"/>
          <w:bCs/>
          <w:color w:val="auto"/>
          <w:szCs w:val="21"/>
          <w:highlight w:val="none"/>
        </w:rPr>
        <w:t xml:space="preserve">环节的质疑。</w:t>
      </w:r>
      <w:r/>
    </w:p>
    <w:p>
      <w:pPr>
        <w:contextualSpacing/>
        <w:ind w:left="567"/>
        <w:spacing w:line="400" w:lineRule="exact"/>
        <w:tabs>
          <w:tab w:val="left" w:pos="0" w:leader="none"/>
        </w:tabs>
        <w:rPr>
          <w:rFonts w:ascii="宋体" w:hAnsi="宋体" w:cs="宋体"/>
          <w:color w:val="auto"/>
          <w:szCs w:val="21"/>
          <w:highlight w:val="none"/>
        </w:rPr>
      </w:pPr>
      <w:r>
        <w:rPr>
          <w:rFonts w:hint="eastAsia" w:ascii="宋体" w:hAnsi="宋体" w:cs="宋体"/>
          <w:bCs/>
          <w:color w:val="auto"/>
          <w:szCs w:val="21"/>
          <w:highlight w:val="none"/>
        </w:rPr>
        <w:t xml:space="preserve">接收</w:t>
      </w:r>
      <w:r>
        <w:rPr>
          <w:rFonts w:hint="eastAsia" w:ascii="宋体" w:hAnsi="宋体" w:cs="宋体"/>
          <w:color w:val="auto"/>
          <w:szCs w:val="21"/>
          <w:highlight w:val="none"/>
        </w:rPr>
        <w:t xml:space="preserve">质疑函的方式为书面形式（当场送达或邮寄方式）。</w:t>
      </w:r>
      <w:r/>
    </w:p>
    <w:p>
      <w:pPr>
        <w:contextualSpacing/>
        <w:ind w:left="567"/>
        <w:spacing w:line="400" w:lineRule="exact"/>
        <w:tabs>
          <w:tab w:val="left" w:pos="0" w:leader="none"/>
        </w:tabs>
        <w:rPr>
          <w:rFonts w:ascii="宋体" w:hAnsi="宋体"/>
          <w:color w:val="auto"/>
          <w:szCs w:val="21"/>
          <w:highlight w:val="none"/>
        </w:rPr>
      </w:pPr>
      <w:r>
        <w:rPr>
          <w:rFonts w:hint="eastAsia" w:ascii="宋体" w:hAnsi="宋体" w:cs="宋体"/>
          <w:color w:val="auto"/>
          <w:szCs w:val="21"/>
          <w:highlight w:val="none"/>
        </w:rPr>
        <w:t xml:space="preserve">质疑联系部门：业</w:t>
      </w:r>
      <w:r>
        <w:rPr>
          <w:rFonts w:hint="eastAsia" w:ascii="宋体" w:hAnsi="宋体"/>
          <w:color w:val="auto"/>
          <w:szCs w:val="21"/>
          <w:highlight w:val="none"/>
        </w:rPr>
        <w:t xml:space="preserve">务部-金健</w:t>
      </w:r>
      <w:r/>
    </w:p>
    <w:p>
      <w:pPr>
        <w:contextualSpacing/>
        <w:ind w:left="567"/>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联系电话：0512-68364647/68361806转8002</w:t>
      </w:r>
      <w:r/>
    </w:p>
    <w:p>
      <w:pPr>
        <w:contextualSpacing/>
        <w:ind w:left="567"/>
        <w:spacing w:line="400" w:lineRule="exact"/>
        <w:tabs>
          <w:tab w:val="left" w:pos="0" w:leader="none"/>
        </w:tabs>
        <w:rPr>
          <w:rFonts w:ascii="宋体" w:hAnsi="宋体"/>
          <w:bCs/>
          <w:color w:val="auto"/>
          <w:szCs w:val="21"/>
          <w:highlight w:val="none"/>
        </w:rPr>
      </w:pPr>
      <w:r>
        <w:rPr>
          <w:rFonts w:hint="eastAsia" w:ascii="宋体" w:hAnsi="宋体"/>
          <w:color w:val="auto"/>
          <w:szCs w:val="21"/>
          <w:highlight w:val="none"/>
        </w:rPr>
        <w:t xml:space="preserve">通讯地址：</w:t>
      </w:r>
      <w:r>
        <w:rPr>
          <w:rFonts w:hint="eastAsia" w:ascii="宋体" w:hAnsi="宋体" w:cs="宋体"/>
          <w:color w:val="auto"/>
          <w:szCs w:val="21"/>
          <w:highlight w:val="none"/>
          <w:lang w:eastAsia="zh-CN"/>
        </w:rPr>
        <w:t xml:space="preserve">苏州工业园区苏州大道西313号嘉实大厦东楼5楼</w:t>
      </w:r>
      <w:r/>
    </w:p>
    <w:p>
      <w:pPr>
        <w:numPr>
          <w:ilvl w:val="0"/>
          <w:numId w:val="32"/>
        </w:numPr>
        <w:contextualSpacing/>
        <w:spacing w:line="400" w:lineRule="exact"/>
        <w:tabs>
          <w:tab w:val="left" w:pos="0" w:leader="none"/>
          <w:tab w:val="left" w:pos="1080" w:leader="none"/>
        </w:tabs>
        <w:rPr>
          <w:rFonts w:ascii="宋体" w:hAnsi="宋体"/>
          <w:color w:val="auto"/>
          <w:szCs w:val="21"/>
          <w:highlight w:val="none"/>
        </w:rPr>
      </w:pPr>
      <w:r>
        <w:rPr>
          <w:rFonts w:hint="eastAsia" w:ascii="宋体" w:hAnsi="宋体"/>
          <w:bCs/>
          <w:color w:val="auto"/>
          <w:szCs w:val="21"/>
          <w:highlight w:val="none"/>
        </w:rPr>
        <w:t xml:space="preserve">供应商可以委托代理人进行质疑。其授权委托书应当载明代理人的姓名或者名称、代理事项、具体权限、期限和</w:t>
      </w:r>
      <w:r>
        <w:rPr>
          <w:rFonts w:hint="eastAsia"/>
          <w:color w:val="auto"/>
          <w:highlight w:val="none"/>
        </w:rPr>
        <w:t xml:space="preserve">相关</w:t>
      </w:r>
      <w:r>
        <w:rPr>
          <w:rFonts w:hint="eastAsia" w:ascii="宋体" w:hAnsi="宋体"/>
          <w:bCs/>
          <w:color w:val="auto"/>
          <w:szCs w:val="21"/>
          <w:highlight w:val="none"/>
        </w:rPr>
        <w:t xml:space="preserve">事项。供应商为自然人的，应当由本人签字；供应商为法人或者其他组织的，应当由法定代表人、主要负责人签字或者盖章，并加盖公章。代理人提出质疑，应当提交供应商签署的授权委托书</w:t>
      </w:r>
      <w:r>
        <w:rPr>
          <w:rFonts w:hint="eastAsia" w:ascii="宋体" w:hAnsi="宋体"/>
          <w:color w:val="auto"/>
          <w:szCs w:val="21"/>
          <w:highlight w:val="none"/>
        </w:rPr>
        <w:t xml:space="preserve">。</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谈判程序：</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采购代理机构按规定的时间、地点主持谈判采购活动。</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开标</w:t>
      </w:r>
      <w:r/>
    </w:p>
    <w:p>
      <w:pPr>
        <w:contextualSpacing/>
        <w:ind w:left="567"/>
        <w:spacing w:line="400" w:lineRule="exact"/>
        <w:tabs>
          <w:tab w:val="left" w:pos="0" w:leader="none"/>
        </w:tabs>
        <w:rPr>
          <w:rFonts w:ascii="宋体" w:hAnsi="宋体" w:cs="宋体"/>
          <w:color w:val="auto"/>
          <w:highlight w:val="none"/>
        </w:rPr>
      </w:pPr>
      <w:r>
        <w:rPr>
          <w:rFonts w:hint="eastAsia" w:ascii="宋体" w:hAnsi="宋体" w:cs="宋体"/>
          <w:color w:val="auto"/>
          <w:highlight w:val="none"/>
        </w:rPr>
        <w:t xml:space="preserve">供应商通过“苏采云”系统在线参与谈判采购活动。供应商应当按照《苏采云系统供应商操作手册》规定在“苏采云”系统规定的时间内对响应文件进行解密，并按要求在规定时间内进行其他响应操作。</w:t>
      </w:r>
      <w:r/>
    </w:p>
    <w:p>
      <w:pPr>
        <w:numPr>
          <w:ilvl w:val="0"/>
          <w:numId w:val="34"/>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numPr>
          <w:ilvl w:val="0"/>
          <w:numId w:val="34"/>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线上参加（观看）开标（开启）会方式：登录“苏采云”系统，点击“开标大厅”，选择对应项目，点击进入不见面开标系统。</w:t>
      </w:r>
      <w:r/>
    </w:p>
    <w:p>
      <w:pPr>
        <w:numPr>
          <w:ilvl w:val="0"/>
          <w:numId w:val="34"/>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numPr>
          <w:ilvl w:val="0"/>
          <w:numId w:val="34"/>
        </w:numPr>
        <w:contextualSpacing/>
        <w:spacing w:line="400" w:lineRule="exact"/>
        <w:tabs>
          <w:tab w:val="left" w:pos="0" w:leader="none"/>
          <w:tab w:val="left" w:pos="1080" w:leader="none"/>
        </w:tabs>
        <w:rPr>
          <w:rFonts w:ascii="宋体" w:hAnsi="宋体"/>
          <w:bCs/>
          <w:color w:val="auto"/>
          <w:szCs w:val="21"/>
          <w:highlight w:val="none"/>
        </w:rPr>
      </w:pPr>
      <w:r>
        <w:rPr>
          <w:rFonts w:hint="eastAsia" w:ascii="宋体" w:hAnsi="宋体"/>
          <w:bCs/>
          <w:color w:val="auto"/>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numPr>
          <w:ilvl w:val="0"/>
          <w:numId w:val="34"/>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投标人在“苏采云”系统规定的时间</w:t>
      </w:r>
      <w:r>
        <w:rPr>
          <w:rFonts w:hint="eastAsia" w:ascii="宋体" w:hAnsi="宋体" w:cs="宋体"/>
          <w:color w:val="auto"/>
          <w:highlight w:val="none"/>
        </w:rPr>
        <w:t xml:space="preserve">内未成功解密电子投标文件的，投标无效。</w:t>
      </w:r>
      <w:r/>
    </w:p>
    <w:p>
      <w:pPr>
        <w:numPr>
          <w:ilvl w:val="0"/>
          <w:numId w:val="34"/>
        </w:numPr>
        <w:contextualSpacing/>
        <w:spacing w:line="400" w:lineRule="exact"/>
        <w:tabs>
          <w:tab w:val="left" w:pos="0" w:leader="none"/>
          <w:tab w:val="left" w:pos="1080" w:leader="none"/>
        </w:tabs>
        <w:rPr>
          <w:rFonts w:ascii="宋体" w:hAnsi="宋体" w:cs="宋体"/>
          <w:color w:val="auto"/>
          <w:highlight w:val="none"/>
        </w:rPr>
      </w:pPr>
      <w:r>
        <w:rPr>
          <w:rFonts w:hint="eastAsia" w:ascii="宋体" w:hAnsi="宋体"/>
          <w:bCs/>
          <w:color w:val="auto"/>
          <w:szCs w:val="21"/>
          <w:highlight w:val="none"/>
        </w:rPr>
        <w:t xml:space="preserve">投标</w:t>
      </w:r>
      <w:r>
        <w:rPr>
          <w:rFonts w:hint="eastAsia" w:ascii="宋体" w:hAnsi="宋体" w:cs="宋体"/>
          <w:color w:val="auto"/>
          <w:highlight w:val="none"/>
        </w:rPr>
        <w:t xml:space="preserve">人电脑环境最低要求：谷歌浏览器，版本可直接网上下载最新版本即可。如需收听现场语音需配置放音设备，如视频直播、互动交流使用异常，请刷新网页，如仍无法解决，请联系技术支持。</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由谈判小组审查供应商提交的响应文件。</w:t>
      </w:r>
      <w:r/>
    </w:p>
    <w:p>
      <w:pPr>
        <w:numPr>
          <w:ilvl w:val="0"/>
          <w:numId w:val="33"/>
        </w:numPr>
        <w:contextualSpacing/>
        <w:spacing w:line="400" w:lineRule="exact"/>
        <w:tabs>
          <w:tab w:val="left" w:pos="0" w:leader="none"/>
        </w:tabs>
        <w:rPr>
          <w:rFonts w:ascii="宋体" w:hAnsi="宋体" w:cs="宋体"/>
          <w:color w:val="auto"/>
          <w:highlight w:val="none"/>
        </w:rPr>
      </w:pPr>
      <w:r>
        <w:rPr>
          <w:rFonts w:hint="eastAsia" w:ascii="宋体" w:hAnsi="宋体" w:cs="宋体"/>
          <w:color w:val="auto"/>
          <w:highlight w:val="none"/>
        </w:rPr>
        <w:t xml:space="preserve">采购人在对响应文件的资格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关于多家供应商提供同品牌同型号产品情形的评审按苏财购告【2018】10号执行。</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谈判小组所有成员集中与单一供应商分别进行谈判，并给予所有参加谈判的供应商平等的谈判机会。</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在谈判过程中，谈判小组可以根据谈判文件和谈判情况实质性变动采购需求中的技术、服务要求以及合同草案条款。对谈判文件作出的实质性变动是谈判文件的有效组成部分，谈判小组将及时以书面形式同时通知所有参加谈判的供应商。</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供应商应当按照谈判文件的变动情况和谈判小组的要求重新提交响应文件，并由其法定代表人或授权代表签字或者加盖公章。</w:t>
      </w:r>
      <w:r/>
    </w:p>
    <w:p>
      <w:pPr>
        <w:numPr>
          <w:ilvl w:val="0"/>
          <w:numId w:val="33"/>
        </w:numPr>
        <w:contextualSpacing/>
        <w:spacing w:line="400" w:lineRule="exact"/>
        <w:tabs>
          <w:tab w:val="left" w:pos="0" w:leader="none"/>
        </w:tabs>
        <w:rPr>
          <w:rFonts w:ascii="宋体" w:hAnsi="宋体" w:cs="宋体"/>
          <w:color w:val="auto"/>
          <w:highlight w:val="none"/>
        </w:rPr>
      </w:pPr>
      <w:r>
        <w:rPr>
          <w:rFonts w:hint="eastAsia" w:ascii="宋体" w:hAnsi="宋体"/>
          <w:color w:val="auto"/>
          <w:szCs w:val="21"/>
          <w:highlight w:val="none"/>
        </w:rPr>
        <w:t xml:space="preserve">澄清、二</w:t>
      </w:r>
      <w:r>
        <w:rPr>
          <w:rFonts w:hint="eastAsia" w:ascii="宋体" w:hAnsi="宋体" w:cs="宋体"/>
          <w:color w:val="auto"/>
          <w:highlight w:val="none"/>
        </w:rPr>
        <w:t xml:space="preserve">次报价</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（1）本项目采用线上澄清</w:t>
      </w:r>
      <w:r/>
    </w:p>
    <w:p>
      <w:pPr>
        <w:ind w:right="-153" w:firstLine="420"/>
        <w:spacing w:line="440" w:lineRule="exact"/>
        <w:rPr>
          <w:rFonts w:ascii="宋体" w:hAnsi="宋体" w:cs="宋体"/>
          <w:bCs/>
          <w:color w:val="auto"/>
          <w:highlight w:val="none"/>
          <w:lang w:val="zh-CN"/>
        </w:rPr>
        <w:outlineLvl w:val="0"/>
      </w:pPr>
      <w:r>
        <w:rPr>
          <w:rFonts w:hint="eastAsia" w:ascii="宋体" w:hAnsi="宋体" w:cs="宋体"/>
          <w:bCs/>
          <w:color w:val="auto"/>
          <w:highlight w:val="none"/>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（2）本项目采用线上谈判</w:t>
      </w:r>
      <w:r/>
    </w:p>
    <w:p>
      <w:pPr>
        <w:ind w:right="-153" w:firstLine="420"/>
        <w:spacing w:line="440" w:lineRule="exact"/>
        <w:rPr>
          <w:rFonts w:ascii="宋体" w:hAnsi="宋体" w:cs="宋体"/>
          <w:bCs/>
          <w:color w:val="auto"/>
          <w:highlight w:val="none"/>
        </w:rPr>
        <w:outlineLvl w:val="0"/>
      </w:pPr>
      <w:r>
        <w:rPr>
          <w:rFonts w:hint="eastAsia" w:ascii="宋体" w:hAnsi="宋体" w:cs="宋体"/>
          <w:bCs/>
          <w:color w:val="auto"/>
          <w:highlight w:val="none"/>
        </w:rPr>
        <w:t xml:space="preserve">对于通过资格审查和符合性审查的供应商，谈判小组所有成员集中与单一供应商分别进行谈判，并给予所有参加谈判的供应商平等的谈判机会。谈判小组通过“苏采云”系统向供应商发布“谈判函”</w:t>
      </w:r>
      <w:r>
        <w:rPr>
          <w:rFonts w:hint="eastAsia" w:ascii="宋体" w:hAnsi="宋体"/>
          <w:color w:val="auto"/>
          <w:szCs w:val="21"/>
          <w:highlight w:val="none"/>
        </w:rPr>
        <w:t xml:space="preserve">（如需）</w:t>
      </w:r>
      <w:r>
        <w:rPr>
          <w:rFonts w:hint="eastAsia" w:ascii="宋体" w:hAnsi="宋体" w:cs="宋体"/>
          <w:bCs/>
          <w:color w:val="auto"/>
          <w:highlight w:val="none"/>
        </w:rPr>
        <w:t xml:space="preserve">，供应商应当按照要求在“苏采云”系统提交“谈判响应函”并加盖CA电子公章。</w:t>
      </w:r>
      <w:r/>
    </w:p>
    <w:p>
      <w:pPr>
        <w:ind w:right="-153" w:firstLine="422"/>
        <w:spacing w:line="440" w:lineRule="exact"/>
        <w:rPr>
          <w:rFonts w:ascii="宋体" w:hAnsi="宋体" w:cs="宋体"/>
          <w:b/>
          <w:color w:val="auto"/>
          <w:highlight w:val="none"/>
        </w:rPr>
        <w:outlineLvl w:val="0"/>
      </w:pPr>
      <w:r>
        <w:rPr>
          <w:rFonts w:hint="eastAsia" w:ascii="宋体" w:hAnsi="宋体" w:cs="宋体"/>
          <w:b/>
          <w:color w:val="auto"/>
          <w:highlight w:val="none"/>
        </w:rPr>
        <w:t xml:space="preserve">（3）本项目采用线上二次报价</w:t>
      </w:r>
      <w:r/>
    </w:p>
    <w:p>
      <w:pPr>
        <w:ind w:right="-153" w:firstLine="420"/>
        <w:spacing w:line="440" w:lineRule="exact"/>
        <w:rPr>
          <w:rFonts w:ascii="宋体" w:hAnsi="宋体" w:cs="宋体"/>
          <w:bCs/>
          <w:color w:val="auto"/>
          <w:highlight w:val="none"/>
        </w:rPr>
        <w:outlineLvl w:val="0"/>
      </w:pPr>
      <w:r>
        <w:rPr>
          <w:rFonts w:hint="eastAsia" w:ascii="宋体" w:hAnsi="宋体" w:cs="宋体"/>
          <w:bCs/>
          <w:color w:val="auto"/>
          <w:highlight w:val="none"/>
        </w:rPr>
        <w:t xml:space="preserve">谈判</w:t>
      </w:r>
      <w:r>
        <w:rPr>
          <w:rFonts w:hint="eastAsia" w:ascii="宋体" w:hAnsi="宋体" w:cs="宋体"/>
          <w:bCs/>
          <w:color w:val="auto"/>
          <w:highlight w:val="none"/>
          <w:lang w:val="zh-CN"/>
        </w:rPr>
        <w:t xml:space="preserve">结束后，谈判小组将在“苏采云”系统向所有实质性响应的供应商发布“最后报价要求函”及最后报价格式表</w:t>
      </w:r>
      <w:r>
        <w:rPr>
          <w:rFonts w:hint="eastAsia" w:ascii="宋体" w:hAnsi="宋体"/>
          <w:color w:val="auto"/>
          <w:szCs w:val="21"/>
          <w:highlight w:val="none"/>
        </w:rPr>
        <w:t xml:space="preserve">（如需）</w:t>
      </w:r>
      <w:r>
        <w:rPr>
          <w:rFonts w:hint="eastAsia" w:ascii="宋体" w:hAnsi="宋体" w:cs="宋体"/>
          <w:bCs/>
          <w:color w:val="auto"/>
          <w:highlight w:val="none"/>
          <w:lang w:val="zh-CN"/>
        </w:rPr>
        <w:t xml:space="preserve">，要求所有实质性响应的供应商在规定时间内提交最后报价。</w:t>
      </w:r>
      <w:r/>
    </w:p>
    <w:p>
      <w:pPr>
        <w:ind w:firstLine="420"/>
        <w:spacing w:line="440" w:lineRule="exact"/>
        <w:rPr>
          <w:rFonts w:ascii="宋体" w:hAnsi="宋体" w:cs="宋体"/>
          <w:bCs/>
          <w:color w:val="auto"/>
          <w:highlight w:val="none"/>
          <w:lang w:val="zh-CN"/>
        </w:rPr>
      </w:pPr>
      <w:r>
        <w:rPr>
          <w:rFonts w:hint="eastAsia" w:ascii="宋体" w:hAnsi="宋体" w:cs="宋体"/>
          <w:bCs/>
          <w:color w:val="auto"/>
          <w:highlight w:val="none"/>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color w:val="auto"/>
          <w:highlight w:val="none"/>
          <w:lang w:val="zh-CN"/>
        </w:rPr>
        <w:t xml:space="preserve">（此处规定时间的计算以系统中的倒计时间为准，系统中的线上最后报价只有一次机会，提交后无法撤回，请供应商慎重提交）。</w:t>
      </w:r>
      <w:r>
        <w:rPr>
          <w:b/>
          <w:bCs/>
          <w:color w:val="auto"/>
          <w:szCs w:val="21"/>
          <w:highlight w:val="none"/>
          <w:lang w:val="zh-CN"/>
        </w:rPr>
        <w:t xml:space="preserve">（除因谈判文件修改导致成本增加</w:t>
      </w:r>
      <w:r>
        <w:rPr>
          <w:rFonts w:hint="eastAsia"/>
          <w:b/>
          <w:bCs/>
          <w:color w:val="auto"/>
          <w:szCs w:val="21"/>
          <w:highlight w:val="none"/>
          <w:lang w:val="zh-CN"/>
        </w:rPr>
        <w:t xml:space="preserve">外</w:t>
      </w:r>
      <w:r>
        <w:rPr>
          <w:b/>
          <w:bCs/>
          <w:color w:val="auto"/>
          <w:szCs w:val="21"/>
          <w:highlight w:val="none"/>
          <w:lang w:val="zh-CN"/>
        </w:rPr>
        <w:t xml:space="preserve">，二次报价不得超过第一次报价，否则为无效响应报价）</w:t>
      </w:r>
      <w:r/>
    </w:p>
    <w:p>
      <w:pPr>
        <w:ind w:firstLine="420"/>
        <w:spacing w:line="440" w:lineRule="exact"/>
        <w:rPr>
          <w:rFonts w:ascii="宋体" w:hAnsi="宋体" w:cs="宋体"/>
          <w:bCs/>
          <w:color w:val="auto"/>
          <w:highlight w:val="none"/>
          <w:lang w:val="zh-CN"/>
        </w:rPr>
      </w:pPr>
      <w:r>
        <w:rPr>
          <w:rFonts w:hint="eastAsia" w:ascii="宋体" w:hAnsi="宋体" w:cs="宋体"/>
          <w:bCs/>
          <w:color w:val="auto"/>
          <w:highlight w:val="none"/>
          <w:lang w:val="zh-CN"/>
        </w:rPr>
        <w:t xml:space="preserve">已提交响应文件的供应商，在提交最后报价之前，可以根据谈判情况退出谈判。</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lang w:val="zh-CN"/>
        </w:rPr>
        <w:t xml:space="preserve">进入项目评审流程后，建议各供应商法定代表人或授权委托人始终保持通讯顺畅，及时登录苏采云系统查阅、答复相关信息。</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谈判结束后，谈判小组将要求所有实质性响应的供应商在规定时间内提交最后报价，提交最后报价且符合得标条件的供应商不足3家的，谈判采购失败。</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谈判小组根据谈判成交原则确定成交供应商，并将结果通知所有参加谈判的供应商。</w:t>
      </w:r>
      <w:r/>
    </w:p>
    <w:p>
      <w:pPr>
        <w:numPr>
          <w:ilvl w:val="0"/>
          <w:numId w:val="33"/>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如谈判过程中出现本采购文件未尽事宜，由谈判小组根据有关规定讨论决定。</w:t>
      </w:r>
      <w:r/>
    </w:p>
    <w:p>
      <w:pPr>
        <w:numPr>
          <w:ilvl w:val="0"/>
          <w:numId w:val="6"/>
        </w:numPr>
        <w:contextualSpacing/>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rPr>
        <w:t xml:space="preserve">谈判成交原则及评审内容：</w:t>
      </w:r>
      <w:r/>
    </w:p>
    <w:p>
      <w:pPr>
        <w:contextualSpacing/>
        <w:ind w:firstLine="420"/>
        <w:spacing w:line="400" w:lineRule="exact"/>
        <w:tabs>
          <w:tab w:val="left" w:pos="0" w:leader="none"/>
          <w:tab w:val="left" w:pos="2870" w:leader="none"/>
        </w:tabs>
        <w:rPr>
          <w:rFonts w:ascii="宋体" w:hAnsi="宋体"/>
          <w:bCs/>
          <w:color w:val="auto"/>
          <w:szCs w:val="21"/>
          <w:highlight w:val="none"/>
        </w:rPr>
      </w:pPr>
      <w:r>
        <w:rPr>
          <w:rFonts w:ascii="宋体" w:hAnsi="宋体"/>
          <w:bCs/>
          <w:color w:val="auto"/>
          <w:szCs w:val="21"/>
          <w:highlight w:val="none"/>
        </w:rPr>
        <w:t xml:space="preserve">（一）谈判成交原则：</w:t>
      </w:r>
      <w:r/>
    </w:p>
    <w:p>
      <w:pPr>
        <w:numPr>
          <w:ilvl w:val="0"/>
          <w:numId w:val="35"/>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本项目采用最低评标价法，即根据质量和服务均能满足采购文件实质性响应要求且最后报价最低的原则确定成交供应商</w:t>
      </w:r>
      <w:r>
        <w:rPr>
          <w:rFonts w:hint="eastAsia"/>
          <w:color w:val="auto"/>
          <w:szCs w:val="21"/>
          <w:highlight w:val="none"/>
        </w:rPr>
        <w:t xml:space="preserve">。</w:t>
      </w:r>
      <w:r>
        <w:rPr>
          <w:rFonts w:hint="eastAsia" w:ascii="宋体" w:hAnsi="宋体"/>
          <w:color w:val="auto"/>
          <w:szCs w:val="21"/>
          <w:highlight w:val="none"/>
        </w:rPr>
        <w:t xml:space="preserve">如出现最后报价最低的谈判供应商有两个或两个以上的，则由采购人以抽签方式确定成交供应商。本项目允许一家供应商同时兼中多个标段。</w:t>
      </w:r>
      <w:r/>
    </w:p>
    <w:p>
      <w:pPr>
        <w:numPr>
          <w:ilvl w:val="0"/>
          <w:numId w:val="35"/>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各成员独立对谈判供应商的谈判响应文件按照谈判文件的规定和要求进行资格性和符合性评审，如评审内容条款均满足谈判文件要求的，则认为该供应商响应文件评审合格。如某一条款内容评审不合格，评委须注明评审不合格原因。</w:t>
      </w:r>
      <w:r/>
    </w:p>
    <w:p>
      <w:pPr>
        <w:numPr>
          <w:ilvl w:val="0"/>
          <w:numId w:val="35"/>
        </w:numPr>
        <w:contextualSpacing/>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谈判小组为3人及以上单数。如某一评审条款出现评委意见不一致时，则按少数服从多数的原则，确定该项条款是否合格。</w:t>
      </w:r>
      <w:r/>
    </w:p>
    <w:p>
      <w:pPr>
        <w:numPr>
          <w:ilvl w:val="0"/>
          <w:numId w:val="35"/>
        </w:numPr>
        <w:contextualSpacing/>
        <w:spacing w:line="400" w:lineRule="exact"/>
        <w:tabs>
          <w:tab w:val="left" w:pos="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3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3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3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3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35"/>
        </w:numPr>
        <w:contextualSpacing/>
        <w:spacing w:line="400" w:lineRule="exact"/>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评审委员会启动异常低价投标(响应)审查后，属于前述第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项至第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项情形，供应商已随投标(响应)文件一并提交相关书面说明及必要的证明材料的，在评审现场可不再重复提交。</w:t>
      </w:r>
      <w:r/>
    </w:p>
    <w:p>
      <w:pPr>
        <w:numPr>
          <w:ilvl w:val="0"/>
          <w:numId w:val="35"/>
        </w:numPr>
        <w:contextualSpacing/>
        <w:spacing w:line="400" w:lineRule="exact"/>
        <w:tabs>
          <w:tab w:val="left" w:pos="0" w:leader="none"/>
        </w:tabs>
        <w:rPr>
          <w:rFonts w:ascii="宋体" w:hAnsi="宋体"/>
          <w:color w:val="auto"/>
          <w:highlight w:val="none"/>
        </w:rPr>
      </w:pPr>
      <w:r>
        <w:rPr>
          <w:rFonts w:hint="eastAsia" w:ascii="宋体" w:hAnsi="宋体" w:eastAsia="宋体" w:cs="Times New Roman"/>
          <w:color w:val="auto"/>
          <w:szCs w:val="21"/>
          <w:highlight w:val="none"/>
        </w:rPr>
        <w:t xml:space="preserve">评审委员</w:t>
      </w:r>
      <w:r>
        <w:rPr>
          <w:rFonts w:hint="eastAsia" w:ascii="宋体" w:hAnsi="宋体" w:cs="宋体"/>
          <w:color w:val="auto"/>
          <w:szCs w:val="21"/>
          <w:highlight w:val="none"/>
          <w:shd w:val="clear" w:color="auto" w:fill="auto"/>
        </w:rPr>
        <w:t xml:space="preserve">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20"/>
        <w:spacing w:line="400" w:lineRule="exact"/>
        <w:tabs>
          <w:tab w:val="left" w:pos="0" w:leader="none"/>
          <w:tab w:val="left" w:pos="2870" w:leader="none"/>
        </w:tabs>
        <w:rPr>
          <w:rFonts w:ascii="宋体" w:hAnsi="宋体"/>
          <w:bCs/>
          <w:color w:val="auto"/>
          <w:highlight w:val="none"/>
        </w:rPr>
      </w:pPr>
      <w:r>
        <w:rPr>
          <w:rFonts w:hint="eastAsia" w:ascii="宋体" w:hAnsi="宋体"/>
          <w:bCs/>
          <w:color w:val="auto"/>
          <w:highlight w:val="none"/>
        </w:rPr>
        <w:t xml:space="preserve">（二）评审内容：</w:t>
      </w:r>
      <w:r/>
    </w:p>
    <w:tbl>
      <w:tblPr>
        <w:tblStyle w:val="955"/>
        <w:tblW w:w="96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6065"/>
        <w:gridCol w:w="1984"/>
        <w:gridCol w:w="872"/>
      </w:tblGrid>
      <w:tr>
        <w:trPr>
          <w:jc w:val="center"/>
          <w:trHeight w:val="567"/>
        </w:trPr>
        <w:tc>
          <w:tcPr>
            <w:tcW w:w="74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606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评审内容</w:t>
            </w:r>
            <w:r/>
          </w:p>
        </w:tc>
        <w:tc>
          <w:tcPr>
            <w:tcW w:w="1984"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评审是否合格（填“是”或“否”）</w:t>
            </w:r>
            <w:r/>
          </w:p>
        </w:tc>
        <w:tc>
          <w:tcPr>
            <w:tcW w:w="87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不合格原因</w:t>
            </w:r>
            <w:r/>
          </w:p>
        </w:tc>
      </w:tr>
      <w:tr>
        <w:trPr>
          <w:jc w:val="center"/>
          <w:trHeight w:val="567"/>
        </w:trPr>
        <w:tc>
          <w:tcPr>
            <w:tcW w:w="7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606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highlight w:val="none"/>
              </w:rPr>
              <w:t xml:space="preserve">资格审查响应文件</w:t>
            </w:r>
            <w:r>
              <w:rPr>
                <w:rFonts w:hint="eastAsia" w:ascii="宋体" w:hAnsi="宋体"/>
                <w:color w:val="auto"/>
                <w:szCs w:val="21"/>
                <w:highlight w:val="none"/>
              </w:rPr>
              <w:t xml:space="preserve">是否符合要求</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2</w:t>
            </w:r>
            <w:r/>
          </w:p>
        </w:tc>
        <w:tc>
          <w:tcPr>
            <w:tcW w:w="6065" w:type="dxa"/>
            <w:vAlign w:val="center"/>
            <w:textDirection w:val="lrTb"/>
            <w:noWrap w:val="false"/>
          </w:tcPr>
          <w:p>
            <w:pPr>
              <w:spacing w:line="400" w:lineRule="exact"/>
              <w:rPr>
                <w:rFonts w:ascii="宋体" w:hAnsi="宋体"/>
                <w:color w:val="auto"/>
                <w:highlight w:val="none"/>
              </w:rPr>
            </w:pPr>
            <w:r>
              <w:rPr>
                <w:rFonts w:hint="eastAsia" w:ascii="宋体" w:hAnsi="宋体"/>
                <w:color w:val="auto"/>
                <w:highlight w:val="none"/>
              </w:rPr>
              <w:t xml:space="preserve">响应货物的数量、品牌、规格、技术参数、指标说明、质量要求、偏离说明等</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6065" w:type="dxa"/>
            <w:vAlign w:val="center"/>
            <w:textDirection w:val="lrTb"/>
            <w:noWrap w:val="false"/>
          </w:tcPr>
          <w:p>
            <w:pPr>
              <w:spacing w:line="400" w:lineRule="exact"/>
              <w:tabs>
                <w:tab w:val="left" w:pos="567" w:leader="none"/>
                <w:tab w:val="left" w:pos="851" w:leader="none"/>
              </w:tabs>
              <w:rPr>
                <w:rFonts w:ascii="宋体" w:hAnsi="宋体"/>
                <w:color w:val="auto"/>
                <w:highlight w:val="none"/>
              </w:rPr>
            </w:pPr>
            <w:r>
              <w:rPr>
                <w:rFonts w:hint="eastAsia" w:ascii="宋体" w:hAnsi="宋体"/>
                <w:color w:val="auto"/>
                <w:highlight w:val="none"/>
              </w:rPr>
              <w:t xml:space="preserve">响应单位须按采购需求“详细技术参数、指标要求”中打“</w:t>
            </w:r>
            <w:r>
              <w:rPr>
                <w:rFonts w:hint="eastAsia" w:ascii="宋体" w:hAnsi="宋体" w:cs="宋体"/>
                <w:color w:val="auto"/>
                <w:highlight w:val="none"/>
              </w:rPr>
              <w:t xml:space="preserve">★</w:t>
            </w:r>
            <w:r>
              <w:rPr>
                <w:rFonts w:hint="eastAsia" w:ascii="宋体" w:hAnsi="宋体"/>
                <w:color w:val="auto"/>
                <w:highlight w:val="none"/>
              </w:rPr>
              <w:t xml:space="preserve">”项要求提供符合要求的相应证明材料，否则视为非实质性响应</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6065" w:type="dxa"/>
            <w:vAlign w:val="center"/>
            <w:textDirection w:val="lrTb"/>
            <w:noWrap w:val="false"/>
          </w:tcPr>
          <w:p>
            <w:pPr>
              <w:spacing w:line="400" w:lineRule="exact"/>
              <w:tabs>
                <w:tab w:val="left" w:pos="567" w:leader="none"/>
              </w:tabs>
              <w:rPr>
                <w:rFonts w:ascii="宋体" w:hAnsi="宋体"/>
                <w:color w:val="auto"/>
                <w:highlight w:val="none"/>
              </w:rPr>
            </w:pPr>
            <w:r>
              <w:rPr>
                <w:rFonts w:hint="eastAsia" w:ascii="宋体" w:hAnsi="宋体"/>
                <w:color w:val="auto"/>
                <w:highlight w:val="none"/>
              </w:rPr>
              <w:t xml:space="preserve">履约交付、质保、售后、服务响应等的书面服务承诺</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trPr>
        <w:tc>
          <w:tcPr>
            <w:tcW w:w="744" w:type="dxa"/>
            <w:vAlign w:val="center"/>
            <w:textDirection w:val="lrTb"/>
            <w:noWrap w:val="false"/>
          </w:tcPr>
          <w:p>
            <w:pPr>
              <w:jc w:val="center"/>
              <w:spacing w:line="40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5</w:t>
            </w:r>
            <w:r/>
          </w:p>
        </w:tc>
        <w:tc>
          <w:tcPr>
            <w:tcW w:w="6065" w:type="dxa"/>
            <w:vAlign w:val="center"/>
            <w:textDirection w:val="lrTb"/>
            <w:noWrap w:val="false"/>
          </w:tcPr>
          <w:p>
            <w:pPr>
              <w:spacing w:line="400" w:lineRule="exact"/>
              <w:tabs>
                <w:tab w:val="left" w:pos="567" w:leader="none"/>
              </w:tabs>
              <w:rPr>
                <w:rFonts w:ascii="宋体" w:hAnsi="宋体"/>
                <w:color w:val="auto"/>
                <w:highlight w:val="none"/>
              </w:rPr>
            </w:pPr>
            <w:r>
              <w:rPr>
                <w:rFonts w:hint="eastAsia" w:ascii="宋体" w:hAnsi="宋体"/>
                <w:color w:val="auto"/>
                <w:szCs w:val="21"/>
                <w:highlight w:val="none"/>
              </w:rPr>
              <w:t xml:space="preserve">其他材料（除供应商资格条件及采购技术内容以外的其他涉及实质性响应谈判文件的条款内容）</w:t>
            </w:r>
            <w:r/>
          </w:p>
        </w:tc>
        <w:tc>
          <w:tcPr>
            <w:tcW w:w="198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8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pStyle w:val="964"/>
        <w:jc w:val="center"/>
        <w:spacing w:line="360" w:lineRule="auto"/>
        <w:rPr>
          <w:rFonts w:ascii="宋体" w:hAnsi="宋体"/>
          <w:b/>
          <w:bCs/>
          <w:color w:val="auto"/>
          <w:sz w:val="32"/>
          <w:highlight w:val="none"/>
        </w:rPr>
        <w:outlineLvl w:val="0"/>
      </w:pPr>
      <w:r>
        <w:rPr>
          <w:rFonts w:ascii="宋体" w:hAnsi="宋体"/>
          <w:b/>
          <w:bCs/>
          <w:color w:val="auto"/>
          <w:sz w:val="21"/>
          <w:szCs w:val="21"/>
          <w:highlight w:val="none"/>
        </w:rPr>
        <w:br w:type="page" w:clear="all"/>
      </w:r>
      <w:r>
        <w:rPr>
          <w:rFonts w:hint="eastAsia" w:ascii="宋体" w:hAnsi="宋体"/>
          <w:b/>
          <w:bCs/>
          <w:color w:val="auto"/>
          <w:sz w:val="32"/>
          <w:highlight w:val="none"/>
        </w:rPr>
        <w:t xml:space="preserve">三、合同主要条款</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甲方： </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地址：</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联系人：</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联系电话：</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乙方：</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地址：</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联系人：</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联系电话：</w:t>
      </w:r>
      <w:r/>
    </w:p>
    <w:p>
      <w:pPr>
        <w:ind w:firstLine="420"/>
        <w:spacing w:line="400" w:lineRule="exact"/>
        <w:rPr>
          <w:rFonts w:ascii="宋体" w:hAnsi="宋体" w:cs="宋体"/>
          <w:color w:val="auto"/>
          <w:highlight w:val="none"/>
        </w:rPr>
      </w:pPr>
      <w:r>
        <w:rPr>
          <w:rFonts w:ascii="宋体" w:hAnsi="宋体" w:cs="宋体"/>
          <w:color w:val="auto"/>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highlight w:val="none"/>
          <w:u w:val="single"/>
          <w:lang w:eastAsia="zh-CN"/>
        </w:rPr>
        <w:t xml:space="preserve">外包学院2026年度教学实训设备</w:t>
      </w:r>
      <w:r>
        <w:rPr>
          <w:rFonts w:hint="eastAsia" w:ascii="宋体" w:hAnsi="宋体" w:cs="宋体"/>
          <w:color w:val="auto"/>
          <w:highlight w:val="none"/>
        </w:rPr>
        <w:t xml:space="preserve">政府采购（项目编号： </w:t>
      </w:r>
      <w:r>
        <w:rPr>
          <w:rFonts w:hint="eastAsia" w:ascii="宋体" w:hAnsi="宋体" w:cs="宋体"/>
          <w:color w:val="auto"/>
          <w:highlight w:val="none"/>
          <w:u w:val="single"/>
          <w:lang w:eastAsia="zh-CN"/>
        </w:rPr>
        <w:t xml:space="preserve">JSZC-320591-SZYX-T2026-0021</w:t>
      </w:r>
      <w:r>
        <w:rPr>
          <w:rFonts w:hint="eastAsia" w:ascii="宋体" w:hAnsi="宋体" w:cs="宋体"/>
          <w:color w:val="auto"/>
          <w:highlight w:val="none"/>
        </w:rPr>
        <w:t xml:space="preserve">）的采购结果，确定乙方为本次</w:t>
      </w:r>
      <w:r>
        <w:rPr>
          <w:rFonts w:hint="eastAsia" w:ascii="宋体" w:hAnsi="宋体" w:cs="宋体"/>
          <w:color w:val="auto"/>
          <w:highlight w:val="none"/>
          <w:u w:val="single"/>
          <w:lang w:val="en-US" w:eastAsia="zh-CN"/>
        </w:rPr>
        <w:t xml:space="preserve">     标段</w:t>
      </w:r>
      <w:r>
        <w:rPr>
          <w:rFonts w:hint="eastAsia" w:ascii="宋体" w:hAnsi="宋体" w:cs="宋体"/>
          <w:color w:val="auto"/>
          <w:highlight w:val="none"/>
        </w:rPr>
        <w:t xml:space="preserve">成交供应商，现依照谈判文件、乙方的响应文件及相关文件的内容，签订本合同书。</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合同标的物和合同价格</w:t>
      </w:r>
      <w:r/>
    </w:p>
    <w:tbl>
      <w:tblPr>
        <w:tblStyle w:val="955"/>
        <w:tblW w:w="96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1071"/>
        <w:gridCol w:w="2160"/>
        <w:gridCol w:w="1020"/>
        <w:gridCol w:w="974"/>
        <w:gridCol w:w="1134"/>
        <w:gridCol w:w="1134"/>
        <w:gridCol w:w="1134"/>
      </w:tblGrid>
      <w:tr>
        <w:trPr>
          <w:jc w:val="center"/>
          <w:trHeight w:val="652"/>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序号</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名称</w:t>
            </w:r>
            <w:r/>
          </w:p>
        </w:tc>
        <w:tc>
          <w:tcPr>
            <w:tcW w:w="216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品牌、型号、规格</w:t>
            </w:r>
            <w:r/>
          </w:p>
        </w:tc>
        <w:tc>
          <w:tcPr>
            <w:tcW w:w="10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数量</w:t>
            </w:r>
            <w:r/>
          </w:p>
        </w:tc>
        <w:tc>
          <w:tcPr>
            <w:tcW w:w="97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单位</w:t>
            </w:r>
            <w:r/>
          </w:p>
        </w:tc>
        <w:tc>
          <w:tcPr>
            <w:tcW w:w="113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单价(元)</w:t>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rPr>
              <w:t xml:space="preserve">总价(元)</w:t>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hint="eastAsia" w:ascii="宋体" w:hAnsi="宋体" w:cs="宋体"/>
                <w:color w:val="auto"/>
                <w:highlight w:val="none"/>
              </w:rPr>
              <w:t xml:space="preserve">备注</w:t>
            </w:r>
            <w:r/>
          </w:p>
        </w:tc>
      </w:tr>
      <w:tr>
        <w:trPr>
          <w:jc w:val="center"/>
          <w:trHeight w:val="494"/>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7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494"/>
        </w:trPr>
        <w:tc>
          <w:tcPr>
            <w:tcW w:w="1047"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W w:w="107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7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jc w:val="cente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494"/>
        </w:trPr>
        <w:tc>
          <w:tcPr>
            <w:gridSpan w:val="8"/>
            <w:tcW w:w="9674" w:type="dxa"/>
            <w:vAlign w:val="center"/>
            <w:textDirection w:val="lrTb"/>
            <w:noWrap w:val="false"/>
          </w:tcPr>
          <w:p>
            <w:pPr>
              <w:spacing w:line="360" w:lineRule="auto"/>
              <w:widowControl/>
              <w:rPr>
                <w:rFonts w:ascii="宋体" w:hAnsi="宋体" w:cs="宋体"/>
                <w:color w:val="auto"/>
                <w:highlight w:val="none"/>
              </w:rPr>
            </w:pPr>
            <w:r>
              <w:rPr>
                <w:rFonts w:hint="eastAsia" w:ascii="宋体" w:hAnsi="宋体" w:cs="宋体"/>
                <w:color w:val="auto"/>
                <w:highlight w:val="none"/>
              </w:rPr>
              <w:t xml:space="preserve">合同价格（大写）人民币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圆整；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.00）</w:t>
            </w:r>
            <w:r/>
          </w:p>
        </w:tc>
      </w:tr>
    </w:tbl>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本合同价格包括所有货物及备品、备件、辅配件和专用工具费用、安装、调试、技术支持与培训、检测验收、配套服务、包装、运输、售后与维保、保险及相关劳务支出等工作所发生的全部费用以及乙方企业利润、税金和政策性文件规定及合同包含的所有风险、责任等各项应有费用。乙方应保证如项目实施过程中有辅助材料缺漏，负责无条件补齐，费用包含在本次合同价格中，甲方不再另行支付。</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根据现行税法对甲方征收的与本合同有关的一切税费均由甲方承担；根据现行税法对乙方征收的与本合同有关的一切税费均由乙方承担。</w:t>
      </w:r>
      <w:r/>
    </w:p>
    <w:p>
      <w:pPr>
        <w:numPr>
          <w:ilvl w:val="0"/>
          <w:numId w:val="37"/>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标的物交付</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履约交付期限：详见招标文件。</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交付地点：甲方指定地点。</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标的物的所有权自标的物交付时转移。</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0"/>
          <w:numId w:val="37"/>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技术规范</w:t>
      </w:r>
      <w:r/>
    </w:p>
    <w:p>
      <w:pPr>
        <w:numPr>
          <w:ilvl w:val="1"/>
          <w:numId w:val="37"/>
        </w:numPr>
        <w:ind w:left="540" w:hanging="540"/>
        <w:spacing w:line="400" w:lineRule="atLeast"/>
        <w:tabs>
          <w:tab w:val="left" w:pos="540" w:leader="none"/>
          <w:tab w:val="clear" w:pos="567" w:leader="none"/>
        </w:tabs>
        <w:rPr>
          <w:rFonts w:ascii="宋体" w:hAnsi="宋体" w:cs="宋体"/>
          <w:iCs/>
          <w:color w:val="auto"/>
          <w:highlight w:val="none"/>
          <w:u w:val="single"/>
        </w:rPr>
      </w:pPr>
      <w:r>
        <w:rPr>
          <w:rFonts w:hint="eastAsia" w:ascii="宋体" w:hAnsi="宋体" w:cs="宋体"/>
          <w:color w:val="auto"/>
          <w:highlight w:val="none"/>
        </w:rPr>
        <w:t xml:space="preserve">所提供货物的生产、制造等各项技术标准，应当符合国家（强制性）标准、各项规范要求；国家没有相应标准、规范的，可使用行业标准、规定；非标产品按招标约定的技术要求和规范。</w:t>
      </w:r>
      <w:r/>
    </w:p>
    <w:p>
      <w:pPr>
        <w:numPr>
          <w:ilvl w:val="0"/>
          <w:numId w:val="37"/>
        </w:numPr>
        <w:ind w:left="540" w:hanging="540"/>
        <w:spacing w:line="400" w:lineRule="atLeas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质量要求</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所提供货物是全新的、未使用过的、原包装未拆封的商品，完全符合采购产品规定的质量、规格和性能的要求，除有特殊要求外，其余均为标准配置要求，否则甲方有权拒绝验收。</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乙方保证所提供货物涉及到的知识产权是合法取得，并享有完整的知识产权，不会因为甲方的使用而被责令停止使用、追偿或要求赔偿损失，如出现此情况，一切经济和法律责任均由乙方承担。</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验收</w:t>
      </w:r>
      <w:r>
        <w:rPr>
          <w:rFonts w:hint="eastAsia" w:cs="宋体"/>
          <w:b/>
          <w:color w:val="auto"/>
          <w:highlight w:val="none"/>
        </w:rPr>
        <w:t xml:space="preserve">要求</w:t>
      </w:r>
      <w:r/>
    </w:p>
    <w:p>
      <w:pPr>
        <w:numPr>
          <w:ilvl w:val="1"/>
          <w:numId w:val="37"/>
        </w:numPr>
        <w:ind w:left="540" w:hanging="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本项目将根据政府采购法及相关法规，《江苏省政府采购履约验收管理办法》以及《苏州工业园区政府采购履约验收管理暂行办法》文件的规定，对供应商进行履约验收， 确认验收合格的，将出具《政府采购履约验收书》。《政府采购履约验收书》、合同是申请支付政府采购合同价款的必备资料。</w:t>
      </w:r>
      <w:r/>
    </w:p>
    <w:p>
      <w:pPr>
        <w:numPr>
          <w:ilvl w:val="1"/>
          <w:numId w:val="37"/>
        </w:numPr>
        <w:ind w:left="540" w:hanging="540"/>
        <w:spacing w:line="400" w:lineRule="exact"/>
        <w:tabs>
          <w:tab w:val="left" w:pos="540" w:leader="none"/>
        </w:tabs>
        <w:rPr>
          <w:rFonts w:ascii="宋体" w:hAnsi="宋体" w:cs="宋体"/>
          <w:color w:val="auto"/>
          <w:highlight w:val="none"/>
        </w:rPr>
      </w:pPr>
      <w:r>
        <w:rPr>
          <w:rFonts w:hint="eastAsia" w:ascii="宋体" w:hAnsi="宋体" w:cs="宋体"/>
          <w:color w:val="auto"/>
          <w:szCs w:val="21"/>
          <w:highlight w:val="none"/>
        </w:rPr>
        <w:t xml:space="preserve">履约</w:t>
      </w:r>
      <w:r>
        <w:rPr>
          <w:rFonts w:hint="eastAsia" w:ascii="宋体" w:hAnsi="宋体" w:cs="宋体"/>
          <w:color w:val="auto"/>
          <w:highlight w:val="none"/>
        </w:rPr>
        <w:t xml:space="preserve">验收标准：乙方提供的货物必须符合我国最新颁布的与之相关的技术规范与标准，同时必须满足采购文件中所列技术参数、指标要求和乙方承诺的其它内容。</w:t>
      </w:r>
      <w:r>
        <w:rPr>
          <w:rFonts w:hint="eastAsia" w:cs="宋体"/>
          <w:color w:val="auto"/>
          <w:highlight w:val="none"/>
        </w:rPr>
        <w:t xml:space="preserve">在验收过程中甲方如发现提供的产品存在质量问题，则乙方必须重新提交直至验收合格，对甲方造成的一切损失由乙方承担。</w:t>
      </w:r>
      <w:r/>
    </w:p>
    <w:p>
      <w:pPr>
        <w:numPr>
          <w:ilvl w:val="1"/>
          <w:numId w:val="37"/>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履约验收主体：由甲方进行验收。</w:t>
      </w:r>
      <w:r/>
    </w:p>
    <w:p>
      <w:pPr>
        <w:numPr>
          <w:ilvl w:val="1"/>
          <w:numId w:val="37"/>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numPr>
          <w:ilvl w:val="1"/>
          <w:numId w:val="37"/>
        </w:numPr>
        <w:ind w:left="540"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履约验收程序：</w:t>
      </w:r>
      <w:r/>
    </w:p>
    <w:p>
      <w:pPr>
        <w:numPr>
          <w:ilvl w:val="0"/>
          <w:numId w:val="38"/>
        </w:numPr>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履约验收时间：本项目在所采购货物全部交付并安装调试完毕后进行验收。甲方对乙方提供的所有产品进行验收。</w:t>
      </w:r>
      <w:r/>
    </w:p>
    <w:p>
      <w:pPr>
        <w:numPr>
          <w:ilvl w:val="0"/>
          <w:numId w:val="38"/>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numPr>
          <w:ilvl w:val="0"/>
          <w:numId w:val="38"/>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甲方成立验收小组，负责采购项目履约验收具体工作。</w:t>
      </w:r>
      <w:r/>
    </w:p>
    <w:p>
      <w:pPr>
        <w:numPr>
          <w:ilvl w:val="0"/>
          <w:numId w:val="38"/>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验收小组应当按照验收工作实施方案开展验收，对乙方提供的货物、服务按照采购文件、响应文件、政府采购合同等进行逐一核对、验收，并做好验收记录。 </w:t>
      </w:r>
      <w:r/>
    </w:p>
    <w:p>
      <w:pPr>
        <w:numPr>
          <w:ilvl w:val="0"/>
          <w:numId w:val="38"/>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numPr>
          <w:ilvl w:val="0"/>
          <w:numId w:val="38"/>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pStyle w:val="964"/>
        <w:numPr>
          <w:ilvl w:val="0"/>
          <w:numId w:val="38"/>
        </w:numPr>
        <w:spacing w:line="400" w:lineRule="exact"/>
        <w:tabs>
          <w:tab w:val="clear" w:pos="525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履约验收过程中的政府采购合同履行、违约责任和争议解决等事项，按照《中华人民共和国民法典》等法律法规和政府采购合同约定执行。</w:t>
      </w:r>
      <w:r/>
    </w:p>
    <w:p>
      <w:pPr>
        <w:numPr>
          <w:ilvl w:val="1"/>
          <w:numId w:val="37"/>
        </w:numPr>
        <w:ind w:left="539" w:hanging="540"/>
        <w:spacing w:line="400" w:lineRule="exact"/>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其他验收要求按照《江苏省政府采购履约验收管理办法》</w:t>
      </w:r>
      <w:r>
        <w:rPr>
          <w:rFonts w:hint="eastAsia" w:ascii="宋体" w:hAnsi="宋体" w:cs="宋体"/>
          <w:color w:val="auto"/>
          <w:highlight w:val="none"/>
        </w:rPr>
        <w:t xml:space="preserve">以及《苏州工业园区政府采购履约验收管理暂行办法》文件的规定</w:t>
      </w:r>
      <w:r>
        <w:rPr>
          <w:rFonts w:hint="eastAsia" w:ascii="宋体" w:hAnsi="宋体" w:cs="宋体"/>
          <w:color w:val="auto"/>
          <w:szCs w:val="21"/>
          <w:highlight w:val="none"/>
        </w:rPr>
        <w:t xml:space="preserve">执行。</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合同价格支付</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支付步骤：合同签订后，全部货物到场，安装调试完毕，验收合格后甲方支付合同金额的95%，余款于验收通过后一年内无重大质量问题一次性付清。</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支付方式：</w:t>
      </w:r>
      <w:r>
        <w:rPr>
          <w:rFonts w:hint="eastAsia" w:cs="宋体"/>
          <w:color w:val="auto"/>
          <w:highlight w:val="none"/>
        </w:rPr>
        <w:t xml:space="preserve">银行</w:t>
      </w:r>
      <w:r>
        <w:rPr>
          <w:rFonts w:hint="eastAsia" w:ascii="宋体" w:hAnsi="宋体" w:cs="宋体"/>
          <w:color w:val="auto"/>
          <w:highlight w:val="none"/>
        </w:rPr>
        <w:t xml:space="preserve">转账</w:t>
      </w:r>
      <w:r>
        <w:rPr>
          <w:rFonts w:hint="eastAsia" w:cs="宋体"/>
          <w:color w:val="auto"/>
          <w:highlight w:val="none"/>
        </w:rPr>
        <w:t xml:space="preserve">或数字人民币支付</w:t>
      </w:r>
      <w:r>
        <w:rPr>
          <w:rFonts w:hint="eastAsia" w:ascii="宋体" w:hAnsi="宋体" w:cs="宋体"/>
          <w:color w:val="auto"/>
          <w:highlight w:val="none"/>
        </w:rPr>
        <w:t xml:space="preserve">。</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乙方需提供的单据：</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A、合格的发票；</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B、</w:t>
      </w:r>
      <w:r>
        <w:rPr>
          <w:rFonts w:hint="eastAsia" w:ascii="宋体" w:hAnsi="宋体" w:cs="宋体"/>
          <w:color w:val="auto"/>
          <w:szCs w:val="21"/>
          <w:highlight w:val="none"/>
          <w:lang w:val="zh-CN"/>
        </w:rPr>
        <w:t xml:space="preserve">《政府采购履约验收书》</w:t>
      </w:r>
      <w:r>
        <w:rPr>
          <w:rFonts w:hint="eastAsia" w:ascii="宋体" w:hAnsi="宋体" w:cs="宋体"/>
          <w:color w:val="auto"/>
          <w:highlight w:val="none"/>
        </w:rPr>
        <w:t xml:space="preserve">；</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C、其他（若有）。</w:t>
      </w:r>
      <w:r/>
    </w:p>
    <w:p>
      <w:pPr>
        <w:numPr>
          <w:ilvl w:val="1"/>
          <w:numId w:val="37"/>
        </w:numPr>
        <w:ind w:left="540" w:hanging="540"/>
        <w:spacing w:line="400" w:lineRule="atLeas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乙方账户信息：</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户名：</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开户行：</w:t>
      </w:r>
      <w:r/>
    </w:p>
    <w:p>
      <w:pPr>
        <w:ind w:left="540"/>
        <w:spacing w:line="400" w:lineRule="exact"/>
        <w:tabs>
          <w:tab w:val="left" w:pos="540" w:leader="none"/>
        </w:tabs>
        <w:rPr>
          <w:rFonts w:ascii="宋体" w:hAnsi="宋体" w:cs="宋体"/>
          <w:color w:val="auto"/>
          <w:highlight w:val="none"/>
        </w:rPr>
      </w:pPr>
      <w:r>
        <w:rPr>
          <w:rFonts w:hint="eastAsia" w:ascii="宋体" w:hAnsi="宋体" w:cs="宋体"/>
          <w:color w:val="auto"/>
          <w:highlight w:val="none"/>
        </w:rPr>
        <w:t xml:space="preserve">账号：</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对标的物货物提出异议的时间和办法</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甲方在验收过程中，应当于双方约定的检验期间内将标的物的数量或质量不符合约定的情况及处理方式以书面方式通知乙方。</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如果甲方在验收期满后既没有出具验收合格证明又未提出书面异议的视为乙方所交标的物符合合同规定。</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乙方应在收到甲方书面异议后七天内负责解决问题，否则将视为默认甲方提出的异议和处理意见。</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售后服务</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除</w:t>
      </w:r>
      <w:r>
        <w:rPr>
          <w:rFonts w:hint="eastAsia" w:ascii="宋体" w:hAnsi="宋体" w:cs="宋体"/>
          <w:color w:val="auto"/>
          <w:highlight w:val="none"/>
        </w:rPr>
        <w:t xml:space="preserve">特别约定外，合同条款中标的物的质量保证期均自标的物通过最终验收之日起计算，且质量保证期为乙方承诺期限。</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乙方应以优良的服务态度，提供优质的售后服务。</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其它按乙方</w:t>
      </w:r>
      <w:r>
        <w:rPr>
          <w:rFonts w:hint="eastAsia" w:ascii="宋体" w:hAnsi="宋体" w:cs="宋体"/>
          <w:color w:val="auto"/>
          <w:highlight w:val="none"/>
        </w:rPr>
        <w:t xml:space="preserve">投标文件及相关承诺中等同或优于招标文件的要求执行。</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乙方不履行或拖延履行质保义务、售后服务义务的，甲方有权直接聘请第三方提供，因此而造成的费用、损失风险由乙方承担，甲方可在合同应付款中直接予以扣除。</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违约责任</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甲方违约责任及违约金支付：</w:t>
      </w:r>
      <w:r/>
    </w:p>
    <w:p>
      <w:pPr>
        <w:numPr>
          <w:ilvl w:val="0"/>
          <w:numId w:val="39"/>
        </w:numPr>
        <w:ind w:left="1080" w:right="-153" w:hanging="540"/>
        <w:spacing w:line="400" w:lineRule="exact"/>
        <w:tabs>
          <w:tab w:val="left" w:pos="1080" w:leader="none"/>
        </w:tabs>
        <w:rPr>
          <w:rFonts w:ascii="宋体" w:hAnsi="宋体" w:cs="宋体"/>
          <w:color w:val="auto"/>
          <w:highlight w:val="none"/>
        </w:rPr>
      </w:pPr>
      <w:r>
        <w:rPr>
          <w:rFonts w:hint="eastAsia" w:ascii="宋体" w:hAnsi="宋体" w:cs="宋体"/>
          <w:color w:val="auto"/>
          <w:highlight w:val="none"/>
        </w:rPr>
        <w:t xml:space="preserve">在合同生效后，甲方无理由要求退货的，应向乙方偿付合同总价款的5%，作为违约金，违约金不足以补偿损失的，乙方有权要求甲方补足。</w:t>
      </w:r>
      <w:r/>
    </w:p>
    <w:p>
      <w:pPr>
        <w:numPr>
          <w:ilvl w:val="0"/>
          <w:numId w:val="39"/>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甲方违反合同规定，拒绝接受乙方交付的合格标的物，应当承担乙方由此造成的损失。       </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乙方违约责任及违约金支付：</w:t>
      </w:r>
      <w:r/>
    </w:p>
    <w:p>
      <w:pPr>
        <w:numPr>
          <w:ilvl w:val="0"/>
          <w:numId w:val="40"/>
        </w:numPr>
        <w:ind w:left="1080" w:right="-153" w:hanging="540"/>
        <w:spacing w:line="400" w:lineRule="exact"/>
        <w:tabs>
          <w:tab w:val="left" w:pos="1080" w:leader="none"/>
        </w:tabs>
        <w:rPr>
          <w:rFonts w:ascii="宋体" w:hAnsi="宋体" w:cs="宋体"/>
          <w:color w:val="auto"/>
          <w:highlight w:val="none"/>
        </w:rPr>
      </w:pPr>
      <w:r>
        <w:rPr>
          <w:rFonts w:hint="eastAsia" w:ascii="宋体" w:hAnsi="宋体" w:cs="宋体"/>
          <w:color w:val="auto"/>
          <w:highlight w:val="none"/>
        </w:rPr>
        <w:t xml:space="preserve">乙方不能交货（逾期超过</w:t>
      </w:r>
      <w:r>
        <w:rPr>
          <w:rFonts w:hint="eastAsia" w:cs="宋体"/>
          <w:color w:val="auto"/>
          <w:highlight w:val="none"/>
        </w:rPr>
        <w:t xml:space="preserve">七</w:t>
      </w:r>
      <w:r>
        <w:rPr>
          <w:rFonts w:hint="eastAsia" w:ascii="宋体" w:hAnsi="宋体" w:cs="宋体"/>
          <w:color w:val="auto"/>
          <w:highlight w:val="none"/>
        </w:rPr>
        <w:t xml:space="preserve">天视为不能交货），或交货不合格的，应向甲方偿付合同总价款5%的违约金，金额不足以补偿损失的甲方有权要求乙方补足。</w:t>
      </w:r>
      <w:r/>
    </w:p>
    <w:p>
      <w:pPr>
        <w:numPr>
          <w:ilvl w:val="0"/>
          <w:numId w:val="40"/>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乙方逾期交货的，应在发货前与甲方和管理部门协商，甲方仍需求的，乙方应立即发货并应按照逾期交货部分货款的每天万分之四支付逾期交货违约金，同时承担甲方因此遭致的损失费用。</w:t>
      </w:r>
      <w:r/>
    </w:p>
    <w:p>
      <w:pPr>
        <w:numPr>
          <w:ilvl w:val="0"/>
          <w:numId w:val="40"/>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采购文件规定的其他违约情形及责任。</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不可抗力</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因不可抗力不能履行合同的，根据不可抗力的影响，部分或者全部免除责任。但合同一方延迟履行后发生不可抗力的，不能免除责任。</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索赔</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甲方有权根据当地产品质量检验机构或其他有权部门出具的检验证书向乙方提出索赔。</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在本合同规定的检验期限和质量保证期内，如果乙方对甲方提出的索赔或差异有责任，则乙方应按甲方同意的下列一种或多种方式解决索赔事宜：</w:t>
      </w:r>
      <w:r/>
    </w:p>
    <w:p>
      <w:pPr>
        <w:numPr>
          <w:ilvl w:val="0"/>
          <w:numId w:val="41"/>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0"/>
          <w:numId w:val="41"/>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根据标的物的低劣程度、损坏程度以及甲方遭受损失的数额，经双方协商确定标的物的价格。</w:t>
      </w:r>
      <w:r/>
    </w:p>
    <w:p>
      <w:pPr>
        <w:numPr>
          <w:ilvl w:val="0"/>
          <w:numId w:val="41"/>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合同修改</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甲方和乙方都不得擅自变更本合同，但合同继续履行将损害国家和社会公共利益的除外。在合同履行中，甲方可以增加原中标货物的数量，但增加的总金额不得超过中标货物金额的10%。</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转让及分包</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政府采购合同的部分和全部都不得转让、分包。</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合同的解除</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有下列情形之一，合同一方可以解除合同：</w:t>
      </w:r>
      <w:r/>
    </w:p>
    <w:p>
      <w:pPr>
        <w:numPr>
          <w:ilvl w:val="0"/>
          <w:numId w:val="42"/>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因不可抗力致使不能实现合同目的，未受不可抗力影响的一方有权解除合同；</w:t>
      </w:r>
      <w:r/>
    </w:p>
    <w:p>
      <w:pPr>
        <w:numPr>
          <w:ilvl w:val="0"/>
          <w:numId w:val="42"/>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因合同一方违约导致合同不能履行，另一方有权解除合同。</w:t>
      </w:r>
      <w:r/>
    </w:p>
    <w:p>
      <w:pPr>
        <w:numPr>
          <w:ilvl w:val="0"/>
          <w:numId w:val="42"/>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招标文件规定的其他可以解除合同的情形。</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有权解除合同的一方，应当在违约事实或不可抗力发生之后三十天内书面通知对方以主张解除合同，合同在书面通知到达对方时解除。</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争议解决办法</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因本合同或与本合同有关的一切事项发生争议，由双方友好协商解决。协商不成的，任何一方均可选择以下方式解决：</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向甲方所在地的人民法院起诉。</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合同生效及其他</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lang w:val="zh-CN"/>
        </w:rPr>
      </w:pPr>
      <w:r/>
      <w:bookmarkStart w:id="5" w:name="_Hlk160809803"/>
      <w:r>
        <w:rPr>
          <w:rFonts w:hint="eastAsia" w:ascii="宋体" w:hAnsi="宋体" w:cs="宋体"/>
          <w:color w:val="auto"/>
          <w:highlight w:val="none"/>
        </w:rPr>
        <w:t xml:space="preserve">如甲乙双方通过“苏采云”系统线上签订电子合同的，则本合同自双方在“苏采云”系统中加盖电子印章之日起生效。如甲乙双方签订纸质合同的，则本合同自甲乙双方签章之日起生效。</w:t>
      </w:r>
      <w:bookmarkEnd w:id="5"/>
      <w:r>
        <w:rPr>
          <w:rFonts w:hint="eastAsia" w:ascii="宋体" w:hAnsi="宋体" w:cs="宋体"/>
          <w:color w:val="auto"/>
          <w:highlight w:val="none"/>
        </w:rPr>
        <w:t xml:space="preserve">合同签订后将进行公示。</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下列文件为本合同不可分割部分：</w:t>
      </w:r>
      <w:r/>
    </w:p>
    <w:p>
      <w:pPr>
        <w:numPr>
          <w:ilvl w:val="0"/>
          <w:numId w:val="4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成交通知书；</w:t>
      </w:r>
      <w:r/>
    </w:p>
    <w:p>
      <w:pPr>
        <w:numPr>
          <w:ilvl w:val="0"/>
          <w:numId w:val="4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乙方的响应文件；</w:t>
      </w:r>
      <w:r/>
    </w:p>
    <w:p>
      <w:pPr>
        <w:numPr>
          <w:ilvl w:val="0"/>
          <w:numId w:val="4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谈判文件；</w:t>
      </w:r>
      <w:r/>
    </w:p>
    <w:p>
      <w:pPr>
        <w:numPr>
          <w:ilvl w:val="0"/>
          <w:numId w:val="43"/>
        </w:numPr>
        <w:ind w:left="1080" w:right="-153" w:hanging="540"/>
        <w:spacing w:line="400" w:lineRule="exact"/>
        <w:tabs>
          <w:tab w:val="left" w:pos="1080" w:leader="none"/>
          <w:tab w:val="clear" w:pos="2579" w:leader="none"/>
        </w:tabs>
        <w:rPr>
          <w:rFonts w:ascii="宋体" w:hAnsi="宋体" w:cs="宋体"/>
          <w:color w:val="auto"/>
          <w:highlight w:val="none"/>
        </w:rPr>
      </w:pPr>
      <w:r>
        <w:rPr>
          <w:rFonts w:hint="eastAsia" w:ascii="宋体" w:hAnsi="宋体" w:cs="宋体"/>
          <w:color w:val="auto"/>
          <w:highlight w:val="none"/>
        </w:rPr>
        <w:t xml:space="preserve">乙方在谈判过程中所作的其他承诺、声明、书面澄清等。</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合同在执行过程中出现的未尽事宜，双方在不违背本合同和采购文件的原则下协商解决，协商结果以书面形式盖章记录在案，作为本合同的附件，与本合同具有同等效力，并提交监督管理部门和苏州市原鑫招投标咨询服务有限公司备存。</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numPr>
          <w:ilvl w:val="0"/>
          <w:numId w:val="37"/>
        </w:numPr>
        <w:ind w:left="540" w:hanging="540"/>
        <w:spacing w:line="400" w:lineRule="exact"/>
        <w:tabs>
          <w:tab w:val="left" w:pos="-180" w:leader="none"/>
          <w:tab w:val="clear" w:pos="425" w:leader="none"/>
        </w:tabs>
        <w:rPr>
          <w:rFonts w:ascii="宋体" w:hAnsi="宋体" w:cs="宋体"/>
          <w:b/>
          <w:color w:val="auto"/>
          <w:highlight w:val="none"/>
        </w:rPr>
      </w:pPr>
      <w:r>
        <w:rPr>
          <w:rFonts w:hint="eastAsia" w:ascii="宋体" w:hAnsi="宋体" w:cs="宋体"/>
          <w:b/>
          <w:color w:val="auto"/>
          <w:highlight w:val="none"/>
        </w:rPr>
        <w:t xml:space="preserve">未尽事宜</w:t>
      </w:r>
      <w:r/>
    </w:p>
    <w:p>
      <w:pPr>
        <w:numPr>
          <w:ilvl w:val="1"/>
          <w:numId w:val="37"/>
        </w:numPr>
        <w:ind w:left="540" w:hanging="540"/>
        <w:spacing w:line="400" w:lineRule="exact"/>
        <w:tabs>
          <w:tab w:val="left" w:pos="540" w:leader="none"/>
          <w:tab w:val="clear" w:pos="567" w:leader="none"/>
        </w:tabs>
        <w:rPr>
          <w:rFonts w:ascii="宋体" w:hAnsi="宋体" w:cs="宋体"/>
          <w:color w:val="auto"/>
          <w:highlight w:val="none"/>
        </w:rPr>
      </w:pPr>
      <w:r>
        <w:rPr>
          <w:rFonts w:hint="eastAsia" w:ascii="宋体" w:hAnsi="宋体" w:cs="宋体"/>
          <w:color w:val="auto"/>
          <w:highlight w:val="none"/>
        </w:rPr>
        <w:t xml:space="preserve">未尽事宜按照《中华人民共和国民法典》、《中华人民共和国政府采购法》等相关法律法规之规定解释。</w:t>
      </w:r>
      <w:r/>
    </w:p>
    <w:p>
      <w:pPr>
        <w:numPr>
          <w:ilvl w:val="0"/>
          <w:numId w:val="37"/>
        </w:numPr>
        <w:ind w:left="540" w:hanging="540"/>
        <w:spacing w:line="400" w:lineRule="exact"/>
        <w:tabs>
          <w:tab w:val="clear" w:pos="425" w:leader="none"/>
          <w:tab w:val="left" w:pos="540" w:leader="none"/>
        </w:tabs>
        <w:rPr>
          <w:rFonts w:ascii="宋体" w:hAnsi="宋体" w:cs="宋体"/>
          <w:b/>
          <w:color w:val="auto"/>
          <w:highlight w:val="none"/>
        </w:rPr>
      </w:pPr>
      <w:r>
        <w:rPr>
          <w:rFonts w:hint="eastAsia" w:ascii="宋体" w:hAnsi="宋体" w:cs="宋体"/>
          <w:b/>
          <w:color w:val="auto"/>
          <w:highlight w:val="none"/>
        </w:rPr>
        <w:t xml:space="preserve">附则</w:t>
      </w:r>
      <w:r/>
    </w:p>
    <w:p>
      <w:pPr>
        <w:numPr>
          <w:ilvl w:val="1"/>
          <w:numId w:val="37"/>
        </w:numPr>
        <w:ind w:left="540" w:hanging="540"/>
        <w:spacing w:line="400" w:lineRule="exact"/>
        <w:tabs>
          <w:tab w:val="left" w:pos="540" w:leader="none"/>
          <w:tab w:val="clear" w:pos="567" w:leader="none"/>
        </w:tabs>
        <w:rPr>
          <w:rFonts w:ascii="宋体" w:hAnsi="宋体" w:cs="宋体"/>
          <w:bCs/>
          <w:color w:val="auto"/>
          <w:highlight w:val="none"/>
        </w:rPr>
      </w:pPr>
      <w:r>
        <w:rPr>
          <w:rFonts w:hint="eastAsia" w:ascii="宋体" w:hAnsi="宋体" w:cs="宋体"/>
          <w:bCs/>
          <w:color w:val="auto"/>
          <w:highlight w:val="none"/>
        </w:rPr>
        <w:t xml:space="preserve">本合同一式</w:t>
      </w:r>
      <w:r>
        <w:rPr>
          <w:rFonts w:hint="eastAsia" w:ascii="宋体" w:hAnsi="宋体" w:cs="宋体"/>
          <w:bCs/>
          <w:color w:val="auto"/>
          <w:highlight w:val="none"/>
          <w:u w:val="single"/>
        </w:rPr>
        <w:t xml:space="preserve"> 五 </w:t>
      </w:r>
      <w:r>
        <w:rPr>
          <w:rFonts w:hint="eastAsia" w:ascii="宋体" w:hAnsi="宋体" w:cs="宋体"/>
          <w:bCs/>
          <w:color w:val="auto"/>
          <w:highlight w:val="none"/>
        </w:rPr>
        <w:t xml:space="preserve">份，甲方执</w:t>
      </w:r>
      <w:r>
        <w:rPr>
          <w:rFonts w:hint="eastAsia" w:ascii="宋体" w:hAnsi="宋体" w:cs="宋体"/>
          <w:bCs/>
          <w:color w:val="auto"/>
          <w:highlight w:val="none"/>
          <w:u w:val="single"/>
        </w:rPr>
        <w:t xml:space="preserve"> 二 </w:t>
      </w:r>
      <w:r>
        <w:rPr>
          <w:rFonts w:hint="eastAsia" w:ascii="宋体" w:hAnsi="宋体" w:cs="宋体"/>
          <w:bCs/>
          <w:color w:val="auto"/>
          <w:highlight w:val="none"/>
        </w:rPr>
        <w:t xml:space="preserve">份，乙方执</w:t>
      </w:r>
      <w:r>
        <w:rPr>
          <w:rFonts w:hint="eastAsia" w:ascii="宋体" w:hAnsi="宋体" w:cs="宋体"/>
          <w:bCs/>
          <w:color w:val="auto"/>
          <w:highlight w:val="none"/>
          <w:u w:val="single"/>
        </w:rPr>
        <w:t xml:space="preserve"> 二 </w:t>
      </w:r>
      <w:r>
        <w:rPr>
          <w:rFonts w:hint="eastAsia" w:ascii="宋体" w:hAnsi="宋体" w:cs="宋体"/>
          <w:bCs/>
          <w:color w:val="auto"/>
          <w:highlight w:val="none"/>
        </w:rPr>
        <w:t xml:space="preserve">份，采购代理机构一份。</w:t>
      </w:r>
      <w:r/>
    </w:p>
    <w:p>
      <w:pPr>
        <w:numPr>
          <w:ilvl w:val="0"/>
          <w:numId w:val="37"/>
        </w:numPr>
        <w:ind w:left="540" w:hanging="540"/>
        <w:spacing w:line="400" w:lineRule="exact"/>
        <w:tabs>
          <w:tab w:val="clear" w:pos="425" w:leader="none"/>
          <w:tab w:val="left" w:pos="540" w:leader="none"/>
        </w:tabs>
        <w:rPr>
          <w:rFonts w:ascii="宋体" w:hAnsi="宋体" w:cs="宋体"/>
          <w:b/>
          <w:bCs/>
          <w:color w:val="auto"/>
          <w:highlight w:val="none"/>
        </w:rPr>
      </w:pPr>
      <w:r>
        <w:rPr>
          <w:rFonts w:hint="eastAsia" w:cs="宋体"/>
          <w:b/>
          <w:bCs/>
          <w:color w:val="auto"/>
          <w:highlight w:val="none"/>
        </w:rPr>
        <w:t xml:space="preserve">附件</w:t>
      </w:r>
      <w:r/>
    </w:p>
    <w:p>
      <w:pPr>
        <w:ind w:firstLine="539"/>
        <w:spacing w:line="400" w:lineRule="exact"/>
        <w:rPr>
          <w:rFonts w:ascii="宋体" w:hAnsi="宋体" w:cs="宋体"/>
          <w:color w:val="auto"/>
          <w:highlight w:val="none"/>
        </w:rPr>
      </w:pPr>
      <w:r>
        <w:rPr>
          <w:rFonts w:hint="eastAsia" w:ascii="宋体" w:hAnsi="宋体" w:cs="宋体"/>
          <w:color w:val="auto"/>
          <w:highlight w:val="none"/>
        </w:rPr>
        <w:t xml:space="preserve">合同附件1：政府采购履约验收通知单</w:t>
      </w:r>
      <w:r/>
    </w:p>
    <w:p>
      <w:pPr>
        <w:ind w:firstLine="539"/>
        <w:spacing w:line="400" w:lineRule="exact"/>
        <w:rPr>
          <w:rFonts w:cs="宋体"/>
          <w:color w:val="auto"/>
          <w:highlight w:val="none"/>
        </w:rPr>
      </w:pPr>
      <w:r>
        <w:rPr>
          <w:rFonts w:hint="eastAsia" w:ascii="宋体" w:hAnsi="宋体" w:cs="宋体"/>
          <w:color w:val="auto"/>
          <w:highlight w:val="none"/>
        </w:rPr>
        <w:t xml:space="preserve">合同附</w:t>
      </w:r>
      <w:r>
        <w:rPr>
          <w:rFonts w:hint="eastAsia" w:cs="宋体"/>
          <w:color w:val="auto"/>
          <w:highlight w:val="none"/>
        </w:rPr>
        <w:t xml:space="preserve">件2：政府采购履约验收书</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甲方（盖章）：                                 乙方（盖章）：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法定（授权）代表人（签字）：                   法定（授权）代表人（签字）：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签订日期：  </w:t>
      </w:r>
      <w:r/>
    </w:p>
    <w:p>
      <w:pPr>
        <w:rPr>
          <w:rFonts w:cs="宋体"/>
          <w:color w:val="auto"/>
          <w:highlight w:val="none"/>
        </w:rPr>
      </w:pPr>
      <w:r>
        <w:rPr>
          <w:rFonts w:cs="宋体"/>
          <w:color w:val="auto"/>
          <w:highlight w:val="none"/>
        </w:rPr>
      </w:r>
      <w:r/>
    </w:p>
    <w:p>
      <w:pPr>
        <w:pStyle w:val="964"/>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jc w:val="left"/>
        <w:rPr>
          <w:color w:val="auto"/>
          <w:highlight w:val="none"/>
        </w:rPr>
      </w:pPr>
      <w:r>
        <w:rPr>
          <w:rFonts w:hint="eastAsia" w:ascii="宋体" w:hAnsi="宋体" w:cs="宋体"/>
          <w:color w:val="auto"/>
          <w:highlight w:val="none"/>
        </w:rPr>
        <w:t xml:space="preserve">附件1：政府采购履约验收通知单</w:t>
      </w:r>
      <w:r>
        <w:rPr>
          <w:color w:val="auto"/>
          <w:highlight w:val="none"/>
        </w:rPr>
        <mc:AlternateContent>
          <mc:Choice Requires="wpg">
            <w:drawing>
              <wp:inline xmlns:wp="http://schemas.openxmlformats.org/drawingml/2006/wordprocessingDrawing" distT="0" distB="0" distL="0" distR="0">
                <wp:extent cx="7926070" cy="5953760"/>
                <wp:effectExtent l="0" t="0" r="889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rot="5400000">
                          <a:off x="0" y="0"/>
                          <a:ext cx="7926070" cy="5953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4.1pt;height:468.8pt;mso-wrap-distance-left:0.0pt;mso-wrap-distance-top:0.0pt;mso-wrap-distance-right:0.0pt;mso-wrap-distance-bottom:0.0pt;rotation:90;" stroked="f">
                <v:path textboxrect="0,0,0,0"/>
                <v:imagedata r:id="rId16" o:title=""/>
              </v:shape>
            </w:pict>
          </mc:Fallback>
        </mc:AlternateContent>
      </w:r>
      <w:r/>
    </w:p>
    <w:p>
      <w:pPr>
        <w:rPr>
          <w:rFonts w:ascii="宋体" w:hAnsi="宋体" w:cs="宋体"/>
          <w:color w:val="auto"/>
          <w:highlight w:val="none"/>
        </w:rPr>
      </w:pPr>
      <w:r>
        <w:rPr>
          <w:rFonts w:hint="eastAsia" w:ascii="宋体" w:hAnsi="宋体" w:cs="宋体"/>
          <w:color w:val="auto"/>
          <w:highlight w:val="none"/>
        </w:rPr>
        <w:br w:type="page" w:clear="all"/>
      </w:r>
      <w:r/>
    </w:p>
    <w:p>
      <w:pPr>
        <w:ind w:firstLine="420"/>
        <w:spacing w:line="360" w:lineRule="auto"/>
        <w:tabs>
          <w:tab w:val="left" w:pos="555" w:leader="none"/>
        </w:tabs>
        <w:rPr>
          <w:color w:val="auto"/>
          <w:highlight w:val="none"/>
        </w:rPr>
        <w:outlineLvl w:val="0"/>
      </w:pPr>
      <w:r>
        <w:rPr>
          <w:rFonts w:hint="eastAsia" w:ascii="宋体" w:hAnsi="宋体" w:cs="宋体"/>
          <w:color w:val="auto"/>
          <w:highlight w:val="none"/>
        </w:rPr>
        <w:t xml:space="preserve">附</w:t>
      </w:r>
      <w:r>
        <w:rPr>
          <w:rFonts w:hint="eastAsia" w:cs="宋体"/>
          <w:color w:val="auto"/>
          <w:highlight w:val="none"/>
        </w:rPr>
        <w:t xml:space="preserve">件2：政府采购履约验收书</w:t>
      </w:r>
      <w:r/>
    </w:p>
    <w:p>
      <w:pPr>
        <w:spacing w:line="360" w:lineRule="auto"/>
        <w:tabs>
          <w:tab w:val="left" w:pos="555" w:leader="none"/>
        </w:tabs>
        <w:rPr>
          <w:color w:val="auto"/>
          <w:highlight w:val="none"/>
        </w:rPr>
        <w:outlineLvl w:val="0"/>
      </w:pPr>
      <w:r>
        <w:rPr>
          <w:color w:val="auto"/>
          <w:highlight w:val="none"/>
        </w:rPr>
        <mc:AlternateContent>
          <mc:Choice Requires="wpg">
            <w:drawing>
              <wp:inline xmlns:wp="http://schemas.openxmlformats.org/drawingml/2006/wordprocessingDrawing" distT="0" distB="0" distL="0" distR="0">
                <wp:extent cx="6398895" cy="4039870"/>
                <wp:effectExtent l="0" t="0" r="1905" b="177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6398895" cy="403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03.8pt;height:318.1pt;mso-wrap-distance-left:0.0pt;mso-wrap-distance-top:0.0pt;mso-wrap-distance-right:0.0pt;mso-wrap-distance-bottom:0.0pt;" stroked="f">
                <v:path textboxrect="0,0,0,0"/>
                <v:imagedata r:id="rId17" o:title=""/>
              </v:shape>
            </w:pict>
          </mc:Fallback>
        </mc:AlternateContent>
      </w:r>
      <w:r>
        <w:rPr>
          <w:color w:val="auto"/>
          <w:highlight w:val="none"/>
        </w:rPr>
        <mc:AlternateContent>
          <mc:Choice Requires="wpg">
            <w:drawing>
              <wp:inline xmlns:wp="http://schemas.openxmlformats.org/drawingml/2006/wordprocessingDrawing" distT="0" distB="0" distL="0" distR="0">
                <wp:extent cx="6400165" cy="2326640"/>
                <wp:effectExtent l="0" t="0" r="635" b="165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8"/>
                        <a:stretch/>
                      </pic:blipFill>
                      <pic:spPr bwMode="auto">
                        <a:xfrm>
                          <a:off x="0" y="0"/>
                          <a:ext cx="6400165" cy="2326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3.9pt;height:183.2pt;mso-wrap-distance-left:0.0pt;mso-wrap-distance-top:0.0pt;mso-wrap-distance-right:0.0pt;mso-wrap-distance-bottom:0.0pt;" stroked="f">
                <v:path textboxrect="0,0,0,0"/>
                <v:imagedata r:id="rId18" o:title=""/>
              </v:shape>
            </w:pict>
          </mc:Fallback>
        </mc:AlternateContent>
      </w:r>
      <w:r/>
    </w:p>
    <w:p>
      <w:pPr>
        <w:spacing w:line="360" w:lineRule="auto"/>
        <w:tabs>
          <w:tab w:val="left" w:pos="555" w:leader="none"/>
        </w:tabs>
        <w:rPr>
          <w:color w:val="auto"/>
          <w:highlight w:val="none"/>
        </w:rPr>
        <w:outlineLvl w:val="0"/>
      </w:pPr>
      <w:r>
        <w:rPr>
          <w:color w:val="auto"/>
          <w:highlight w:val="none"/>
        </w:rPr>
      </w:r>
      <w:r/>
    </w:p>
    <w:p>
      <w:pPr>
        <w:jc w:val="center"/>
        <w:spacing w:line="360" w:lineRule="auto"/>
        <w:tabs>
          <w:tab w:val="left" w:pos="555" w:leader="none"/>
        </w:tabs>
        <w:rPr>
          <w:rFonts w:ascii="宋体" w:hAnsi="宋体"/>
          <w:b/>
          <w:color w:val="auto"/>
          <w:highlight w:val="none"/>
        </w:rPr>
        <w:outlineLvl w:val="0"/>
      </w:pPr>
      <w:r>
        <w:rPr>
          <w:rFonts w:ascii="宋体" w:hAnsi="宋体"/>
          <w:b/>
          <w:color w:val="auto"/>
          <w:highlight w:val="none"/>
        </w:rPr>
        <w:br w:type="page" w:clear="all"/>
      </w:r>
      <w:r>
        <w:rPr>
          <w:rFonts w:hint="eastAsia" w:ascii="宋体" w:hAnsi="宋体"/>
          <w:b/>
          <w:color w:val="auto"/>
          <w:sz w:val="32"/>
          <w:szCs w:val="32"/>
          <w:highlight w:val="none"/>
        </w:rPr>
        <w:t xml:space="preserve">四、附件、格式</w:t>
      </w:r>
      <w:r/>
    </w:p>
    <w:p>
      <w:pPr>
        <w:pStyle w:val="964"/>
        <w:spacing w:line="360" w:lineRule="auto"/>
        <w:rPr>
          <w:rFonts w:ascii="宋体" w:hAnsi="宋体"/>
          <w:b/>
          <w:color w:val="auto"/>
          <w:sz w:val="21"/>
          <w:szCs w:val="21"/>
          <w:highlight w:val="none"/>
        </w:rPr>
        <w:outlineLvl w:val="0"/>
      </w:pPr>
      <w:r>
        <w:rPr>
          <w:rFonts w:hint="eastAsia" w:ascii="宋体" w:hAnsi="宋体"/>
          <w:b/>
          <w:color w:val="auto"/>
          <w:sz w:val="21"/>
          <w:szCs w:val="21"/>
          <w:highlight w:val="none"/>
        </w:rPr>
        <w:t xml:space="preserve">附件1</w:t>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谈判报价表</w:t>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（按投标系统统一格式填写，填报总价）</w:t>
      </w:r>
      <w:r/>
    </w:p>
    <w:p>
      <w:pPr>
        <w:jc w:val="cente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bCs/>
          <w:color w:val="auto"/>
          <w:sz w:val="24"/>
          <w:highlight w:val="none"/>
        </w:rPr>
      </w:pPr>
      <w:r>
        <w:rPr>
          <w:rFonts w:hint="eastAsia" w:ascii="宋体" w:hAnsi="宋体"/>
          <w:b/>
          <w:bCs/>
          <w:color w:val="auto"/>
          <w:sz w:val="24"/>
          <w:highlight w:val="none"/>
        </w:rPr>
        <w:t xml:space="preserve">谈判报价分项明细表</w:t>
      </w:r>
      <w:r/>
    </w:p>
    <w:tbl>
      <w:tblPr>
        <w:tblStyle w:val="955"/>
        <w:tblW w:w="106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59"/>
        <w:gridCol w:w="2335"/>
        <w:gridCol w:w="1307"/>
        <w:gridCol w:w="1134"/>
        <w:gridCol w:w="1012"/>
        <w:gridCol w:w="995"/>
        <w:gridCol w:w="1613"/>
      </w:tblGrid>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W w:w="1359"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tcW w:w="2335"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品牌、型号、规格</w:t>
            </w:r>
            <w:r/>
          </w:p>
        </w:tc>
        <w:tc>
          <w:tcPr>
            <w:tcW w:w="1307"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制造商</w:t>
            </w:r>
            <w:r/>
          </w:p>
        </w:tc>
        <w:tc>
          <w:tcPr>
            <w:tcW w:w="1134"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W w:w="1012"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单价（元）</w:t>
            </w:r>
            <w:r/>
          </w:p>
        </w:tc>
        <w:tc>
          <w:tcPr>
            <w:tcW w:w="995"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总价（元）</w:t>
            </w:r>
            <w:r/>
          </w:p>
        </w:tc>
        <w:tc>
          <w:tcPr>
            <w:tcW w:w="1613"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是否小微、监狱、残疾人企业制造</w:t>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1</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2</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3</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tcW w:w="851" w:type="dxa"/>
            <w:vAlign w:val="center"/>
            <w:textDirection w:val="lrTb"/>
            <w:noWrap w:val="false"/>
          </w:tcPr>
          <w:p>
            <w:pPr>
              <w:jc w:val="center"/>
              <w:rPr>
                <w:rFonts w:ascii="宋体" w:hAnsi="宋体"/>
                <w:color w:val="auto"/>
                <w:spacing w:val="20"/>
                <w:szCs w:val="21"/>
                <w:highlight w:val="none"/>
              </w:rPr>
            </w:pPr>
            <w:r>
              <w:rPr>
                <w:rFonts w:hint="eastAsia" w:ascii="宋体" w:hAnsi="宋体"/>
                <w:color w:val="auto"/>
                <w:spacing w:val="20"/>
                <w:szCs w:val="21"/>
                <w:highlight w:val="none"/>
              </w:rPr>
              <w:t xml:space="preserve">……</w:t>
            </w:r>
            <w:r/>
          </w:p>
        </w:tc>
        <w:tc>
          <w:tcPr>
            <w:tcW w:w="1359"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233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307"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134"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012"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995"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c>
          <w:tcPr>
            <w:tcW w:w="1613" w:type="dxa"/>
            <w:vAlign w:val="center"/>
            <w:textDirection w:val="lrTb"/>
            <w:noWrap w:val="false"/>
          </w:tcPr>
          <w:p>
            <w:pPr>
              <w:jc w:val="center"/>
              <w:rPr>
                <w:rFonts w:ascii="宋体" w:hAnsi="宋体"/>
                <w:color w:val="auto"/>
                <w:spacing w:val="20"/>
                <w:szCs w:val="21"/>
                <w:highlight w:val="none"/>
              </w:rPr>
            </w:pPr>
            <w:r>
              <w:rPr>
                <w:rFonts w:ascii="宋体" w:hAnsi="宋体"/>
                <w:color w:val="auto"/>
                <w:spacing w:val="20"/>
                <w:szCs w:val="21"/>
                <w:highlight w:val="none"/>
              </w:rPr>
            </w:r>
            <w:r/>
          </w:p>
        </w:tc>
      </w:tr>
      <w:tr>
        <w:trPr>
          <w:jc w:val="center"/>
          <w:trHeight w:val="624"/>
        </w:trPr>
        <w:tc>
          <w:tcPr>
            <w:gridSpan w:val="8"/>
            <w:tcW w:w="10606"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谈判总报价（人民币大写）：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jc w:val="center"/>
          <w:trHeight w:val="657"/>
        </w:trPr>
        <w:tc>
          <w:tcPr>
            <w:gridSpan w:val="8"/>
            <w:tcW w:w="10606" w:type="dxa"/>
            <w:vAlign w:val="center"/>
            <w:textDirection w:val="lrTb"/>
            <w:noWrap w:val="false"/>
          </w:tcPr>
          <w:p>
            <w:pPr>
              <w:rPr>
                <w:rFonts w:hint="eastAsia" w:ascii="宋体" w:hAnsi="宋体"/>
                <w:color w:val="auto"/>
                <w:spacing w:val="20"/>
                <w:szCs w:val="21"/>
                <w:highlight w:val="none"/>
              </w:rPr>
            </w:pPr>
            <w:r>
              <w:rPr>
                <w:rFonts w:hint="eastAsia" w:ascii="宋体" w:hAnsi="宋体" w:eastAsia="宋体" w:cs="宋体"/>
                <w:b/>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上述报价包含一切由供方承担的费用，各响应单位可参照上述格式自制《谈判响应报价表》参加谈判。</w:t>
      </w:r>
      <w:r/>
    </w:p>
    <w:p>
      <w:pPr>
        <w:ind w:left="0" w:firstLine="422"/>
        <w:spacing w:line="440" w:lineRule="exact"/>
        <w:tabs>
          <w:tab w:val="left" w:pos="1320" w:leader="none"/>
        </w:tabs>
        <w:rPr>
          <w:rFonts w:ascii="宋体" w:hAnsi="宋体"/>
          <w:color w:val="auto"/>
          <w:sz w:val="24"/>
          <w:szCs w:val="24"/>
          <w:highlight w:val="none"/>
        </w:rPr>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56"/>
        <w:rPr>
          <w:color w:val="auto"/>
          <w:highlight w:val="none"/>
        </w:rPr>
      </w:pPr>
      <w:r>
        <w:rPr>
          <w:color w:val="auto"/>
          <w:highlight w:val="none"/>
        </w:rPr>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ascii="宋体" w:hAnsi="宋体"/>
          <w:color w:val="auto"/>
          <w:szCs w:val="21"/>
          <w:highlight w:val="none"/>
        </w:rPr>
      </w:r>
      <w:r/>
    </w:p>
    <w:p>
      <w:pPr>
        <w:pStyle w:val="964"/>
        <w:spacing w:line="360" w:lineRule="auto"/>
        <w:rPr>
          <w:rFonts w:ascii="宋体" w:hAnsi="宋体"/>
          <w:b/>
          <w:color w:val="auto"/>
          <w:sz w:val="21"/>
          <w:szCs w:val="21"/>
          <w:highlight w:val="none"/>
        </w:rPr>
        <w:outlineLvl w:val="0"/>
      </w:pPr>
      <w:r>
        <w:rPr>
          <w:rFonts w:ascii="宋体" w:hAnsi="宋体"/>
          <w:b/>
          <w:color w:val="auto"/>
          <w:szCs w:val="28"/>
          <w:highlight w:val="none"/>
        </w:rPr>
        <w:br w:type="page" w:clear="all"/>
      </w:r>
      <w:r>
        <w:rPr>
          <w:rFonts w:hint="eastAsia" w:ascii="宋体" w:hAnsi="宋体"/>
          <w:b/>
          <w:color w:val="auto"/>
          <w:sz w:val="21"/>
          <w:szCs w:val="21"/>
          <w:highlight w:val="none"/>
        </w:rPr>
        <w:t xml:space="preserve">附件2</w:t>
      </w:r>
      <w:r/>
    </w:p>
    <w:p>
      <w:pPr>
        <w:pStyle w:val="964"/>
        <w:jc w:val="center"/>
        <w:spacing w:line="360" w:lineRule="auto"/>
        <w:rPr>
          <w:rFonts w:ascii="宋体" w:hAnsi="宋体"/>
          <w:b/>
          <w:color w:val="auto"/>
          <w:szCs w:val="28"/>
          <w:highlight w:val="none"/>
        </w:rPr>
        <w:outlineLvl w:val="0"/>
      </w:pPr>
      <w:r>
        <w:rPr>
          <w:rFonts w:hint="eastAsia" w:ascii="宋体" w:hAnsi="宋体"/>
          <w:b/>
          <w:color w:val="auto"/>
          <w:szCs w:val="28"/>
          <w:highlight w:val="none"/>
        </w:rPr>
        <w:t xml:space="preserve">谈判响应承诺书</w:t>
      </w:r>
      <w:r/>
    </w:p>
    <w:p>
      <w:pPr>
        <w:jc w:val="center"/>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pStyle w:val="96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苏州市原鑫招投标咨询服务有限公司</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969"/>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75"/>
        <w:contextualSpacing/>
        <w:ind w:firstLine="420"/>
        <w:spacing w:line="360" w:lineRule="auto"/>
        <w:tabs>
          <w:tab w:val="left" w:pos="3780" w:leader="none"/>
        </w:tabs>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JSZC-320591-SZYX-T2026-0021</w:t>
      </w:r>
      <w:r>
        <w:rPr>
          <w:rFonts w:hint="eastAsia" w:hAnsi="宋体" w:eastAsia="宋体"/>
          <w:color w:val="auto"/>
          <w:sz w:val="21"/>
          <w:szCs w:val="21"/>
          <w:highlight w:val="none"/>
        </w:rPr>
        <w:t xml:space="preserve">号谈判文件，经仔细阅读和研究，我们决定参加谈判活动。</w:t>
      </w:r>
      <w:r/>
    </w:p>
    <w:p>
      <w:pPr>
        <w:pStyle w:val="1075"/>
        <w:contextualSpacing/>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方愿意按照采购文件的一切要求，提供完成该项目的全部内容，我方的投标报价包括提供提供该项目全部内容。价格及明细见报价表，包含所发生的全部费用以及企业利润、税金和政策性文件规定及合同包含的所有风险、责任等各项应有费用。</w:t>
      </w:r>
      <w:r/>
    </w:p>
    <w:p>
      <w:pPr>
        <w:pStyle w:val="107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、如果我们的谈判响应文件被接受，我们将严格履行谈判文件中规定的每一项要求，按期、按质、按量履行合同的义务。</w:t>
      </w:r>
      <w:r/>
    </w:p>
    <w:p>
      <w:pPr>
        <w:pStyle w:val="107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谈判文件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，对谈判文件及更正公告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4、我们同意按谈判文件中的规定，本响应文件的有效期限自提交响应文件截止时间之日起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5、我们愿意提供谈判采购单位在谈判文件中要求的相关资料。</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6、我们愿意遵守谈判文件中所列的收费标准。</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7、我们承诺该响应文件在谈判开始后的全过程中保持有效，不作任何更改和变动。</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8、我们承诺我公司符合谈判文件中“合格供应商的基本、特定条件”的要求，若与真实情况不符，本公司愿意承担由此而产生的一切后果。</w:t>
      </w:r>
      <w:r/>
    </w:p>
    <w:p>
      <w:pPr>
        <w:pStyle w:val="107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所有有关谈判文件的函电，请按下列地址联系：</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075"/>
        <w:contextualSpacing/>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075"/>
        <w:contextualSpacing/>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64"/>
        <w:spacing w:line="360" w:lineRule="auto"/>
        <w:rPr>
          <w:rFonts w:ascii="宋体" w:hAnsi="宋体"/>
          <w:b/>
          <w:color w:val="auto"/>
          <w:sz w:val="21"/>
          <w:szCs w:val="21"/>
          <w:highlight w:val="none"/>
        </w:rPr>
        <w:outlineLvl w:val="0"/>
      </w:pPr>
      <w:r>
        <w:rPr>
          <w:rFonts w:ascii="宋体" w:hAnsi="宋体"/>
          <w:b/>
          <w:color w:val="auto"/>
          <w:szCs w:val="21"/>
          <w:highlight w:val="none"/>
        </w:rPr>
        <w:br w:type="page" w:clear="all"/>
      </w:r>
      <w:r>
        <w:rPr>
          <w:rFonts w:hint="eastAsia" w:ascii="宋体" w:hAnsi="宋体"/>
          <w:b/>
          <w:color w:val="auto"/>
          <w:sz w:val="21"/>
          <w:szCs w:val="21"/>
          <w:highlight w:val="none"/>
        </w:rPr>
        <w:t xml:space="preserve">附件3</w:t>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授权委托书</w:t>
      </w:r>
      <w:r/>
    </w:p>
    <w:p>
      <w:pPr>
        <w:rPr>
          <w:rFonts w:ascii="宋体" w:hAnsi="宋体"/>
          <w:b/>
          <w:bCs/>
          <w:color w:val="auto"/>
          <w:szCs w:val="21"/>
          <w:highlight w:val="none"/>
        </w:rPr>
      </w:pPr>
      <w:r>
        <w:rPr>
          <w:rFonts w:ascii="宋体" w:hAnsi="宋体"/>
          <w:b/>
          <w:bCs/>
          <w:color w:val="auto"/>
          <w:szCs w:val="21"/>
          <w:highlight w:val="none"/>
        </w:rPr>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  </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为我公司授权代表（即代理人），以本公司的名义参加</w:t>
      </w:r>
      <w:r>
        <w:rPr>
          <w:rFonts w:hint="eastAsia" w:ascii="宋体" w:hAnsi="宋体"/>
          <w:color w:val="auto"/>
          <w:szCs w:val="21"/>
          <w:highlight w:val="none"/>
          <w:u w:val="single"/>
        </w:rPr>
        <w:t xml:space="preserve">苏州市原鑫招投标咨询服务有限公司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lang w:eastAsia="zh-CN"/>
        </w:rPr>
        <w:t xml:space="preserve">JSZC-320591-SZYX-T2026-0021</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号的谈判活动。授权代表在谈判活动过程中所签署的一切文件和处理与这有关的一切事务，我均予以承认。</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授权代表无转委托权。</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后附法定代表人及授权代表身份证复印件。</w:t>
      </w:r>
      <w:r/>
    </w:p>
    <w:p>
      <w:pPr>
        <w:ind w:firstLine="420"/>
        <w:spacing w:line="520" w:lineRule="exact"/>
        <w:rPr>
          <w:rFonts w:ascii="宋体" w:hAnsi="宋体"/>
          <w:color w:val="auto"/>
          <w:szCs w:val="21"/>
          <w:highlight w:val="none"/>
        </w:rPr>
      </w:pPr>
      <w:r>
        <w:rPr>
          <w:rFonts w:hint="eastAsia" w:ascii="宋体" w:hAnsi="宋体"/>
          <w:color w:val="auto"/>
          <w:szCs w:val="21"/>
          <w:highlight w:val="none"/>
        </w:rPr>
        <w:t xml:space="preserve">特此委托。</w:t>
      </w:r>
      <w:r/>
    </w:p>
    <w:p>
      <w:pPr>
        <w:ind w:firstLine="840"/>
        <w:spacing w:line="520" w:lineRule="exact"/>
        <w:rPr>
          <w:rFonts w:ascii="宋体" w:hAnsi="宋体"/>
          <w:color w:val="auto"/>
          <w:szCs w:val="21"/>
          <w:highlight w:val="none"/>
        </w:rPr>
      </w:pPr>
      <w:r>
        <w:rPr>
          <w:rFonts w:ascii="宋体" w:hAnsi="宋体"/>
          <w:color w:val="auto"/>
          <w:szCs w:val="21"/>
          <w:highlight w:val="none"/>
        </w:rPr>
        <w:t xml:space="preserve">    </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供应商：（公章）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840"/>
        <w:spacing w:line="520" w:lineRule="exact"/>
        <w:rPr>
          <w:rFonts w:ascii="宋体" w:hAnsi="宋体"/>
          <w:color w:val="auto"/>
          <w:szCs w:val="21"/>
          <w:highlight w:val="none"/>
        </w:rPr>
      </w:pPr>
      <w:r>
        <w:rPr>
          <w:rFonts w:hint="eastAsia" w:ascii="宋体" w:hAnsi="宋体"/>
          <w:color w:val="auto"/>
          <w:szCs w:val="21"/>
          <w:highlight w:val="none"/>
        </w:rPr>
        <w:t xml:space="preserve">日期：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964"/>
        <w:spacing w:line="360" w:lineRule="auto"/>
        <w:rPr>
          <w:rFonts w:ascii="宋体" w:hAnsi="宋体"/>
          <w:b/>
          <w:color w:val="auto"/>
          <w:sz w:val="21"/>
          <w:szCs w:val="21"/>
          <w:highlight w:val="none"/>
        </w:rPr>
        <w:outlineLvl w:val="0"/>
      </w:pPr>
      <w:r>
        <w:rPr>
          <w:rFonts w:ascii="宋体" w:hAnsi="宋体"/>
          <w:color w:val="auto"/>
          <w:szCs w:val="21"/>
          <w:highlight w:val="none"/>
        </w:rPr>
        <w:br w:type="page" w:clear="all"/>
      </w:r>
      <w:r>
        <w:rPr>
          <w:rFonts w:hint="eastAsia" w:ascii="宋体" w:hAnsi="宋体"/>
          <w:b/>
          <w:color w:val="auto"/>
          <w:sz w:val="21"/>
          <w:szCs w:val="21"/>
          <w:highlight w:val="none"/>
        </w:rPr>
        <w:t xml:space="preserve">附件4</w:t>
      </w:r>
      <w:r/>
    </w:p>
    <w:p>
      <w:pPr>
        <w:jc w:val="center"/>
        <w:rPr>
          <w:rFonts w:ascii="宋体" w:hAnsi="宋体"/>
          <w:b/>
          <w:color w:val="auto"/>
          <w:szCs w:val="21"/>
          <w:highlight w:val="none"/>
        </w:rPr>
      </w:pPr>
      <w:r>
        <w:rPr>
          <w:rFonts w:hint="eastAsia" w:ascii="宋体" w:hAnsi="宋体"/>
          <w:b/>
          <w:color w:val="auto"/>
          <w:szCs w:val="21"/>
          <w:highlight w:val="none"/>
        </w:rPr>
        <w:t xml:space="preserve">技术参数、指标对照表</w:t>
      </w:r>
      <w:r/>
    </w:p>
    <w:p>
      <w:pPr>
        <w:ind w:firstLine="630"/>
        <w:spacing w:line="400" w:lineRule="exact"/>
        <w:rPr>
          <w:rFonts w:ascii="宋体" w:hAnsi="宋体"/>
          <w:b/>
          <w:color w:val="auto"/>
          <w:spacing w:val="20"/>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：JSZC-320591-SZYX-T2026-0021</w:t>
      </w:r>
      <w:r/>
    </w:p>
    <w:tbl>
      <w:tblPr>
        <w:tblStyle w:val="955"/>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ind w:left="54"/>
              <w:jc w:val="center"/>
              <w:spacing w:line="400" w:lineRule="exact"/>
              <w:rPr>
                <w:rFonts w:ascii="宋体" w:hAnsi="宋体"/>
                <w:color w:val="auto"/>
                <w:szCs w:val="21"/>
                <w:highlight w:val="none"/>
              </w:rPr>
            </w:pPr>
            <w:r>
              <w:rPr>
                <w:rFonts w:hint="eastAsia" w:ascii="宋体" w:hAnsi="宋体"/>
                <w:color w:val="auto"/>
                <w:szCs w:val="21"/>
                <w:highlight w:val="none"/>
              </w:rPr>
              <w:t xml:space="preserve">产品名称</w:t>
            </w:r>
            <w:r/>
          </w:p>
        </w:tc>
        <w:tc>
          <w:tcPr>
            <w:tcW w:w="205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响应情况</w:t>
            </w:r>
            <w:r/>
          </w:p>
        </w:tc>
        <w:tc>
          <w:tcPr>
            <w:tcW w:w="205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偏离说明</w:t>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r>
        <w:trPr>
          <w:jc w:val="center"/>
          <w:trHeight w:val="510"/>
        </w:trPr>
        <w:tc>
          <w:tcPr>
            <w:tcW w:w="95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w:t>
            </w:r>
            <w:r/>
          </w:p>
        </w:tc>
        <w:tc>
          <w:tcPr>
            <w:tcW w:w="1683"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1"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c>
          <w:tcPr>
            <w:tcW w:w="2052" w:type="dxa"/>
            <w:vAlign w:val="center"/>
            <w:textDirection w:val="lrTb"/>
            <w:noWrap w:val="false"/>
          </w:tcPr>
          <w:p>
            <w:pPr>
              <w:ind w:firstLine="699"/>
              <w:jc w:val="cente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供应商：（单位盖章）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w:t>
      </w:r>
      <w:r/>
    </w:p>
    <w:p>
      <w:pPr>
        <w:rPr>
          <w:rFonts w:ascii="宋体" w:hAnsi="宋体"/>
          <w:b/>
          <w:color w:val="auto"/>
          <w:szCs w:val="21"/>
          <w:highlight w:val="none"/>
        </w:rPr>
      </w:pPr>
      <w:r>
        <w:rPr>
          <w:rFonts w:ascii="宋体" w:hAnsi="宋体"/>
          <w:b/>
          <w:color w:val="auto"/>
          <w:szCs w:val="21"/>
          <w:highlight w:val="none"/>
        </w:rPr>
      </w:r>
      <w:r/>
    </w:p>
    <w:p>
      <w:pPr>
        <w:pStyle w:val="964"/>
        <w:spacing w:line="360" w:lineRule="auto"/>
        <w:rPr>
          <w:rFonts w:ascii="宋体" w:hAnsi="宋体"/>
          <w:b/>
          <w:color w:val="auto"/>
          <w:sz w:val="21"/>
          <w:szCs w:val="21"/>
          <w:highlight w:val="none"/>
        </w:rPr>
        <w:outlineLvl w:val="0"/>
      </w:pPr>
      <w:r>
        <w:rPr>
          <w:rFonts w:hint="eastAsia" w:ascii="宋体" w:hAnsi="宋体"/>
          <w:b/>
          <w:color w:val="auto"/>
          <w:sz w:val="21"/>
          <w:szCs w:val="21"/>
          <w:highlight w:val="none"/>
        </w:rPr>
        <w:t xml:space="preserve">附件5</w:t>
      </w:r>
      <w:r/>
    </w:p>
    <w:p>
      <w:pPr>
        <w:jc w:val="center"/>
        <w:rPr>
          <w:rFonts w:ascii="宋体" w:hAnsi="宋体"/>
          <w:b/>
          <w:color w:val="auto"/>
          <w:szCs w:val="21"/>
          <w:highlight w:val="none"/>
        </w:rPr>
      </w:pPr>
      <w:r>
        <w:rPr>
          <w:rFonts w:hint="eastAsia" w:ascii="宋体" w:hAnsi="宋体"/>
          <w:b/>
          <w:color w:val="auto"/>
          <w:szCs w:val="21"/>
          <w:highlight w:val="none"/>
        </w:rPr>
        <w:t xml:space="preserve">售后服务承诺书</w:t>
      </w:r>
      <w:r/>
    </w:p>
    <w:p>
      <w:pPr>
        <w:ind w:firstLine="210"/>
        <w:rPr>
          <w:rFonts w:ascii="宋体" w:hAnsi="宋体"/>
          <w:b/>
          <w:color w:val="auto"/>
          <w:szCs w:val="21"/>
          <w:highlight w:val="none"/>
        </w:rPr>
      </w:pP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：JSZC-320591-SZYX-T2026-0021</w:t>
      </w:r>
      <w:r/>
    </w:p>
    <w:tbl>
      <w:tblPr>
        <w:tblStyle w:val="955"/>
        <w:tblW w:w="890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060"/>
        <w:gridCol w:w="1800"/>
        <w:gridCol w:w="2895"/>
      </w:tblGrid>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售后服务内容</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期限（时间）</w:t>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免费质保期</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服务响应</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到达现场</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解决问题</w:t>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54"/>
        </w:trPr>
        <w:tc>
          <w:tcPr>
            <w:tcW w:w="11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30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1、针对服务内容有必须说明的事项，请在“备注”栏目内注明；</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2、如有其它售后服务内容，可自行参照填写。</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供应商：（单位盖章）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spacing w:line="360" w:lineRule="auto"/>
        <w:rPr>
          <w:rFonts w:ascii="宋体" w:hAnsi="宋体"/>
          <w:b/>
          <w:color w:val="auto"/>
          <w:szCs w:val="28"/>
          <w:highlight w:val="none"/>
        </w:rPr>
      </w:pPr>
      <w:r>
        <w:rPr>
          <w:rFonts w:hint="eastAsia" w:ascii="宋体" w:hAnsi="宋体"/>
          <w:color w:val="auto"/>
          <w:szCs w:val="21"/>
          <w:highlight w:val="none"/>
        </w:rPr>
        <w:t xml:space="preserve">日期：</w:t>
      </w:r>
      <w:r/>
    </w:p>
    <w:p>
      <w:pPr>
        <w:pStyle w:val="964"/>
        <w:spacing w:line="360" w:lineRule="auto"/>
        <w:rPr>
          <w:rFonts w:ascii="宋体" w:hAnsi="宋体"/>
          <w:b/>
          <w:color w:val="auto"/>
          <w:sz w:val="21"/>
          <w:szCs w:val="21"/>
          <w:highlight w:val="none"/>
        </w:rPr>
        <w:outlineLvl w:val="0"/>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附件6</w:t>
      </w:r>
      <w:r/>
    </w:p>
    <w:p>
      <w:pPr>
        <w:rPr>
          <w:rFonts w:ascii="宋体" w:hAnsi="宋体"/>
          <w:b/>
          <w:bCs/>
          <w:color w:val="auto"/>
          <w:szCs w:val="21"/>
          <w:highlight w:val="none"/>
        </w:rPr>
      </w:pPr>
      <w:r>
        <w:rPr>
          <w:rFonts w:hint="eastAsia" w:ascii="宋体" w:hAnsi="宋体"/>
          <w:b/>
          <w:color w:val="auto"/>
          <w:szCs w:val="21"/>
          <w:highlight w:val="none"/>
        </w:rPr>
        <w:t xml:space="preserve">(1)</w:t>
      </w:r>
      <w:r>
        <w:rPr>
          <w:rFonts w:hint="eastAsia" w:ascii="宋体" w:hAnsi="宋体"/>
          <w:b/>
          <w:bCs/>
          <w:color w:val="auto"/>
          <w:szCs w:val="21"/>
          <w:highlight w:val="none"/>
        </w:rPr>
        <w:t xml:space="preserve">关于资格文件的声明函</w:t>
      </w:r>
      <w:r/>
    </w:p>
    <w:p>
      <w:pPr>
        <w:jc w:val="center"/>
        <w:rPr>
          <w:rFonts w:ascii="宋体" w:hAnsi="宋体"/>
          <w:b/>
          <w:bCs/>
          <w:color w:val="auto"/>
          <w:szCs w:val="21"/>
          <w:highlight w:val="none"/>
        </w:rPr>
      </w:pPr>
      <w:r>
        <w:rPr>
          <w:rFonts w:ascii="宋体" w:hAnsi="宋体"/>
          <w:b/>
          <w:bCs/>
          <w:color w:val="auto"/>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关于资格文件的声明函</w:t>
      </w:r>
      <w:r/>
    </w:p>
    <w:p>
      <w:pPr>
        <w:pStyle w:val="958"/>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苏州市原鑫招投标咨询服务有限公司</w:t>
      </w:r>
      <w:r>
        <w:rPr>
          <w:rFonts w:hint="eastAsia" w:ascii="宋体" w:hAnsi="宋体" w:eastAsia="宋体"/>
          <w:color w:val="auto"/>
          <w:sz w:val="21"/>
          <w:szCs w:val="21"/>
          <w:highlight w:val="none"/>
        </w:rPr>
        <w:t xml:space="preserve">：</w:t>
      </w:r>
      <w:r/>
    </w:p>
    <w:p>
      <w:pPr>
        <w:pStyle w:val="958"/>
        <w:ind w:firstLine="658"/>
        <w:spacing w:line="5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本公司愿意就由贵公司组织实施的编号为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号的谈判采购活动进行响应。本公司所提交的响应文件中所有关于响应文件、证明和陈述均是真实的、准确的、有效的。若与真实情况不符，本公司愿意承担由此而产生的一切后果。</w:t>
      </w:r>
      <w:r/>
    </w:p>
    <w:p>
      <w:pPr>
        <w:pStyle w:val="958"/>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58"/>
        <w:ind w:firstLine="378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58"/>
        <w:ind w:firstLine="378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供应商：（单位盖章）</w:t>
      </w:r>
      <w:r/>
    </w:p>
    <w:p>
      <w:pPr>
        <w:pStyle w:val="9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法定代表人或代理人（签字或盖章）：</w:t>
      </w:r>
      <w:r/>
    </w:p>
    <w:p>
      <w:pPr>
        <w:pStyle w:val="958"/>
        <w:ind w:left="3507" w:firstLine="27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58"/>
        <w:ind w:firstLine="0"/>
        <w:rPr>
          <w:rFonts w:ascii="宋体" w:hAnsi="宋体" w:eastAsia="宋体"/>
          <w:b/>
          <w:color w:val="auto"/>
          <w:sz w:val="21"/>
          <w:szCs w:val="21"/>
          <w:highlight w:val="none"/>
        </w:rPr>
      </w:pPr>
      <w:r>
        <w:rPr>
          <w:rFonts w:ascii="宋体" w:hAnsi="宋体" w:eastAsia="宋体"/>
          <w:color w:val="auto"/>
          <w:sz w:val="21"/>
          <w:szCs w:val="21"/>
          <w:highlight w:val="none"/>
        </w:rPr>
        <w:br w:type="page" w:clear="all"/>
      </w:r>
      <w:r>
        <w:rPr>
          <w:rFonts w:hint="eastAsia" w:ascii="宋体" w:hAnsi="宋体" w:eastAsia="宋体"/>
          <w:b/>
          <w:color w:val="auto"/>
          <w:sz w:val="21"/>
          <w:szCs w:val="21"/>
          <w:highlight w:val="none"/>
        </w:rPr>
        <w:t xml:space="preserve">(2)谈判供应商情况表</w:t>
      </w:r>
      <w:r/>
    </w:p>
    <w:p>
      <w:pPr>
        <w:pStyle w:val="958"/>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谈判供应商情况表</w:t>
      </w:r>
      <w:r/>
    </w:p>
    <w:p>
      <w:pPr>
        <w:pStyle w:val="958"/>
        <w:rPr>
          <w:rFonts w:ascii="宋体" w:hAnsi="宋体" w:eastAsia="宋体"/>
          <w:color w:val="auto"/>
          <w:sz w:val="21"/>
          <w:szCs w:val="21"/>
          <w:highlight w:val="none"/>
        </w:rPr>
      </w:pPr>
      <w:r>
        <w:rPr>
          <w:rFonts w:ascii="宋体" w:hAnsi="宋体" w:eastAsia="宋体"/>
          <w:color w:val="auto"/>
          <w:sz w:val="21"/>
          <w:szCs w:val="21"/>
          <w:highlight w:val="none"/>
        </w:rPr>
      </w:r>
      <w:r/>
    </w:p>
    <w:p>
      <w:pPr>
        <w:pStyle w:val="958"/>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谈判单位名称（盖章）</w:t>
      </w:r>
      <w:r/>
    </w:p>
    <w:tbl>
      <w:tblPr>
        <w:tblStyle w:val="955"/>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vAlign w:val="center"/>
            <w:textDirection w:val="lrTb"/>
            <w:noWrap w:val="false"/>
          </w:tcPr>
          <w:p>
            <w:pPr>
              <w:pStyle w:val="958"/>
              <w:ind w:firstLine="216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万</w:t>
            </w:r>
            <w:r>
              <w:rPr>
                <w:rFonts w:hint="eastAsia" w:ascii="宋体" w:hAnsi="宋体" w:eastAsia="宋体"/>
                <w:color w:val="auto"/>
                <w:sz w:val="21"/>
                <w:szCs w:val="21"/>
                <w:highlight w:val="none"/>
              </w:rPr>
              <w:t xml:space="preserve">元</w:t>
            </w:r>
            <w:r/>
          </w:p>
        </w:tc>
        <w:tc>
          <w:tcPr>
            <w:tcW w:w="1559"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w:t>
            </w:r>
            <w:r/>
          </w:p>
        </w:tc>
        <w:tc>
          <w:tcPr>
            <w:tcW w:w="2694"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平方米</w:t>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0"/>
        </w:trPr>
        <w:tc>
          <w:tcPr>
            <w:tcW w:w="2552" w:type="dxa"/>
            <w:vAlign w:val="center"/>
            <w:textDirection w:val="lrTb"/>
            <w:noWrap w:val="false"/>
          </w:tcPr>
          <w:p>
            <w:pPr>
              <w:pStyle w:val="95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w:t>
            </w:r>
            <w:r/>
          </w:p>
          <w:p>
            <w:pPr>
              <w:pStyle w:val="958"/>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vAlign w:val="center"/>
            <w:textDirection w:val="lrTb"/>
            <w:noWrap w:val="false"/>
          </w:tcPr>
          <w:p>
            <w:pPr>
              <w:pStyle w:val="958"/>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color w:val="auto"/>
          <w:highlight w:val="none"/>
        </w:rPr>
      </w:pPr>
      <w:r>
        <w:rPr>
          <w:rFonts w:ascii="宋体" w:hAnsi="宋体"/>
          <w:color w:val="auto"/>
          <w:highlight w:val="none"/>
        </w:rPr>
      </w:r>
      <w:r/>
    </w:p>
    <w:p>
      <w:pPr>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（3）中小企业声明函</w:t>
      </w:r>
      <w:r/>
    </w:p>
    <w:p>
      <w:pPr>
        <w:jc w:val="center"/>
        <w:spacing w:line="360" w:lineRule="auto"/>
        <w:rPr>
          <w:rFonts w:cs="宋体"/>
          <w:b/>
          <w:bCs/>
          <w:color w:val="auto"/>
          <w:szCs w:val="21"/>
          <w:highlight w:val="none"/>
        </w:rPr>
      </w:pPr>
      <w:r>
        <w:rPr>
          <w:rFonts w:cs="宋体"/>
          <w:b/>
          <w:bCs/>
          <w:color w:val="auto"/>
          <w:szCs w:val="21"/>
          <w:highlight w:val="none"/>
        </w:rPr>
      </w:r>
      <w:r/>
    </w:p>
    <w:p>
      <w:pPr>
        <w:jc w:val="center"/>
        <w:spacing w:line="360" w:lineRule="auto"/>
        <w:rPr>
          <w:rFonts w:cs="宋体"/>
          <w:b/>
          <w:bCs/>
          <w:color w:val="auto"/>
          <w:szCs w:val="21"/>
          <w:highlight w:val="none"/>
        </w:rPr>
      </w:pPr>
      <w:r>
        <w:rPr>
          <w:rFonts w:hint="eastAsia" w:cs="宋体"/>
          <w:b/>
          <w:bCs/>
          <w:color w:val="auto"/>
          <w:szCs w:val="21"/>
          <w:highlight w:val="none"/>
        </w:rPr>
        <w:t xml:space="preserve">中小企业声明函（货物）</w:t>
      </w:r>
      <w:r/>
    </w:p>
    <w:p>
      <w:pPr>
        <w:jc w:val="center"/>
        <w:spacing w:line="360" w:lineRule="auto"/>
        <w:rPr>
          <w:rFonts w:cs="宋体"/>
          <w:b/>
          <w:bCs/>
          <w:color w:val="auto"/>
          <w:szCs w:val="21"/>
          <w:highlight w:val="none"/>
        </w:rPr>
      </w:pPr>
      <w:r>
        <w:rPr>
          <w:rFonts w:cs="宋体"/>
          <w:b/>
          <w:bCs/>
          <w:color w:val="auto"/>
          <w:szCs w:val="21"/>
          <w:highlight w:val="none"/>
        </w:rPr>
      </w:r>
      <w:r/>
    </w:p>
    <w:p>
      <w:pPr>
        <w:contextualSpacing/>
        <w:ind w:firstLine="420"/>
        <w:spacing w:line="360" w:lineRule="auto"/>
        <w:rPr>
          <w:rFonts w:cs="宋体"/>
          <w:color w:val="auto"/>
          <w:szCs w:val="21"/>
          <w:highlight w:val="none"/>
        </w:rPr>
      </w:pPr>
      <w:r>
        <w:rPr>
          <w:rFonts w:hint="eastAsia" w:cs="宋体"/>
          <w:color w:val="auto"/>
          <w:szCs w:val="21"/>
          <w:highlight w:val="none"/>
        </w:rPr>
        <w:t xml:space="preserve">本公司郑重声明，根据《政府采购促进中小企业发展管理办法》（财库﹝2020﹞46 号）的规定，本公司参加</w:t>
      </w:r>
      <w:r>
        <w:rPr>
          <w:rFonts w:hint="eastAsia" w:cs="宋体"/>
          <w:color w:val="auto"/>
          <w:szCs w:val="21"/>
          <w:highlight w:val="none"/>
          <w:u w:val="single"/>
        </w:rPr>
        <w:t xml:space="preserve">（单位名称）</w:t>
      </w:r>
      <w:r>
        <w:rPr>
          <w:rFonts w:hint="eastAsia" w:cs="宋体"/>
          <w:color w:val="auto"/>
          <w:szCs w:val="21"/>
          <w:highlight w:val="none"/>
        </w:rPr>
        <w:t xml:space="preserve">的</w:t>
      </w:r>
      <w:r>
        <w:rPr>
          <w:rFonts w:hint="eastAsia" w:cs="宋体"/>
          <w:color w:val="auto"/>
          <w:szCs w:val="21"/>
          <w:highlight w:val="none"/>
          <w:u w:val="single"/>
        </w:rPr>
        <w:t xml:space="preserve">（项目名称）</w:t>
      </w:r>
      <w:r>
        <w:rPr>
          <w:rFonts w:hint="eastAsia" w:cs="宋体"/>
          <w:color w:val="auto"/>
          <w:szCs w:val="21"/>
          <w:highlight w:val="none"/>
        </w:rPr>
        <w:t xml:space="preserve">采购活动，</w:t>
      </w:r>
      <w:bookmarkStart w:id="6" w:name="OLE_LINK1"/>
      <w:r>
        <w:rPr>
          <w:rFonts w:hint="eastAsia" w:cs="宋体"/>
          <w:color w:val="auto"/>
          <w:szCs w:val="21"/>
          <w:highlight w:val="none"/>
        </w:rPr>
        <w:t xml:space="preserve">提供的货物全部由符合政策要求的中小企业制造</w:t>
      </w:r>
      <w:bookmarkEnd w:id="6"/>
      <w:r>
        <w:rPr>
          <w:rFonts w:hint="eastAsia" w:cs="宋体"/>
          <w:color w:val="auto"/>
          <w:szCs w:val="21"/>
          <w:highlight w:val="none"/>
        </w:rPr>
        <w:t xml:space="preserve">。相关企业的具体情况如下： </w:t>
      </w:r>
      <w:r/>
    </w:p>
    <w:p>
      <w:pPr>
        <w:numPr>
          <w:ilvl w:val="0"/>
          <w:numId w:val="44"/>
        </w:numPr>
        <w:contextualSpacing/>
        <w:ind w:firstLine="420"/>
        <w:spacing w:line="360" w:lineRule="auto"/>
        <w:rPr>
          <w:rFonts w:cs="宋体"/>
          <w:color w:val="auto"/>
          <w:szCs w:val="21"/>
          <w:highlight w:val="none"/>
        </w:rPr>
      </w:pPr>
      <w:r>
        <w:rPr>
          <w:rFonts w:hint="eastAsia" w:cs="宋体"/>
          <w:color w:val="auto"/>
          <w:szCs w:val="21"/>
          <w:highlight w:val="none"/>
          <w:u w:val="single"/>
        </w:rPr>
        <w:t xml:space="preserve">（标的名称）</w:t>
      </w:r>
      <w:r>
        <w:rPr>
          <w:rFonts w:hint="eastAsia" w:cs="宋体"/>
          <w:color w:val="auto"/>
          <w:szCs w:val="21"/>
          <w:highlight w:val="none"/>
        </w:rPr>
        <w:t xml:space="preserve">，属于</w:t>
      </w:r>
      <w:r>
        <w:rPr>
          <w:rFonts w:hint="eastAsia" w:cs="宋体"/>
          <w:color w:val="auto"/>
          <w:szCs w:val="21"/>
          <w:highlight w:val="none"/>
          <w:u w:val="single"/>
        </w:rPr>
        <w:t xml:space="preserve"> 工业 </w:t>
      </w:r>
      <w:r>
        <w:rPr>
          <w:rFonts w:hint="eastAsia" w:cs="宋体"/>
          <w:color w:val="auto"/>
          <w:szCs w:val="21"/>
          <w:highlight w:val="none"/>
        </w:rPr>
        <w:t xml:space="preserve">；制造商为</w:t>
      </w:r>
      <w:r>
        <w:rPr>
          <w:rFonts w:hint="eastAsia" w:cs="宋体"/>
          <w:color w:val="auto"/>
          <w:szCs w:val="21"/>
          <w:highlight w:val="none"/>
          <w:u w:val="single"/>
        </w:rPr>
        <w:t xml:space="preserve">（企业名称）</w:t>
      </w:r>
      <w:r>
        <w:rPr>
          <w:rFonts w:hint="eastAsia" w:cs="宋体"/>
          <w:color w:val="auto"/>
          <w:szCs w:val="21"/>
          <w:highlight w:val="none"/>
        </w:rPr>
        <w:t xml:space="preserve">，从业人员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（中型企业、小型企业、微型企业）【选择一类填写】</w:t>
      </w:r>
      <w:r>
        <w:rPr>
          <w:rFonts w:hint="eastAsia" w:cs="宋体"/>
          <w:color w:val="auto"/>
          <w:szCs w:val="21"/>
          <w:highlight w:val="none"/>
        </w:rPr>
        <w:t xml:space="preserve">； </w:t>
      </w:r>
      <w:r/>
    </w:p>
    <w:p>
      <w:pPr>
        <w:numPr>
          <w:ilvl w:val="0"/>
          <w:numId w:val="44"/>
        </w:numPr>
        <w:contextualSpacing/>
        <w:ind w:firstLine="420"/>
        <w:spacing w:line="360" w:lineRule="auto"/>
        <w:rPr>
          <w:rFonts w:cs="宋体"/>
          <w:color w:val="auto"/>
          <w:szCs w:val="21"/>
          <w:highlight w:val="none"/>
        </w:rPr>
      </w:pPr>
      <w:r>
        <w:rPr>
          <w:rFonts w:hint="eastAsia" w:cs="宋体"/>
          <w:color w:val="auto"/>
          <w:szCs w:val="21"/>
          <w:highlight w:val="none"/>
          <w:u w:val="single"/>
        </w:rPr>
        <w:t xml:space="preserve">（标的名称）</w:t>
      </w:r>
      <w:r>
        <w:rPr>
          <w:rFonts w:hint="eastAsia" w:cs="宋体"/>
          <w:color w:val="auto"/>
          <w:szCs w:val="21"/>
          <w:highlight w:val="none"/>
        </w:rPr>
        <w:t xml:space="preserve">，属于</w:t>
      </w:r>
      <w:r>
        <w:rPr>
          <w:rFonts w:hint="eastAsia" w:cs="宋体"/>
          <w:color w:val="auto"/>
          <w:szCs w:val="21"/>
          <w:highlight w:val="none"/>
          <w:u w:val="single"/>
        </w:rPr>
        <w:t xml:space="preserve"> 工业 </w:t>
      </w:r>
      <w:r>
        <w:rPr>
          <w:rFonts w:hint="eastAsia" w:cs="宋体"/>
          <w:color w:val="auto"/>
          <w:szCs w:val="21"/>
          <w:highlight w:val="none"/>
        </w:rPr>
        <w:t xml:space="preserve">；制造商为</w:t>
      </w:r>
      <w:r>
        <w:rPr>
          <w:rFonts w:hint="eastAsia" w:cs="宋体"/>
          <w:color w:val="auto"/>
          <w:szCs w:val="21"/>
          <w:highlight w:val="none"/>
          <w:u w:val="single"/>
        </w:rPr>
        <w:t xml:space="preserve">（企业名称）</w:t>
      </w:r>
      <w:r>
        <w:rPr>
          <w:rFonts w:hint="eastAsia" w:cs="宋体"/>
          <w:color w:val="auto"/>
          <w:szCs w:val="21"/>
          <w:highlight w:val="none"/>
        </w:rPr>
        <w:t xml:space="preserve">，从业人员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（中型企业、小型企业、微型企业）【选择一类填写】</w:t>
      </w:r>
      <w:r>
        <w:rPr>
          <w:rFonts w:hint="eastAsia" w:cs="宋体"/>
          <w:color w:val="auto"/>
          <w:szCs w:val="21"/>
          <w:highlight w:val="none"/>
        </w:rPr>
        <w:t xml:space="preserve">； </w:t>
      </w:r>
      <w:r/>
    </w:p>
    <w:p>
      <w:pPr>
        <w:numPr>
          <w:ilvl w:val="0"/>
          <w:numId w:val="44"/>
        </w:numPr>
        <w:contextualSpacing/>
        <w:ind w:firstLine="420"/>
        <w:spacing w:line="360" w:lineRule="auto"/>
        <w:rPr>
          <w:rFonts w:cs="宋体"/>
          <w:color w:val="auto"/>
          <w:szCs w:val="21"/>
          <w:highlight w:val="none"/>
        </w:rPr>
      </w:pPr>
      <w:r>
        <w:rPr>
          <w:rFonts w:hint="eastAsia" w:cs="宋体"/>
          <w:color w:val="auto"/>
          <w:szCs w:val="21"/>
          <w:highlight w:val="none"/>
        </w:rPr>
        <w:t xml:space="preserve">……</w:t>
      </w:r>
      <w:r/>
    </w:p>
    <w:p>
      <w:pPr>
        <w:contextualSpacing/>
        <w:ind w:firstLine="420"/>
        <w:spacing w:line="360" w:lineRule="auto"/>
        <w:rPr>
          <w:rFonts w:cs="宋体"/>
          <w:color w:val="auto"/>
          <w:szCs w:val="21"/>
          <w:highlight w:val="none"/>
        </w:rPr>
      </w:pPr>
      <w:r>
        <w:rPr>
          <w:rFonts w:hint="eastAsia" w:cs="宋体"/>
          <w:color w:val="auto"/>
          <w:szCs w:val="21"/>
          <w:highlight w:val="none"/>
        </w:rPr>
        <w:t xml:space="preserve"> 以上企业，不属于大企业的分支机构，不存在控股股东为大企业的情形，也不存在与大企业的负责人为同一人的情形。 本企业对上述声明内容的真实性负责。如有虚假，将依法承担相应责任。 </w:t>
      </w:r>
      <w:r/>
    </w:p>
    <w:p>
      <w:pPr>
        <w:contextualSpacing/>
        <w:ind w:firstLine="5880"/>
        <w:spacing w:line="360" w:lineRule="auto"/>
        <w:rPr>
          <w:rFonts w:cs="宋体"/>
          <w:color w:val="auto"/>
          <w:szCs w:val="21"/>
          <w:highlight w:val="none"/>
        </w:rPr>
      </w:pPr>
      <w:r>
        <w:rPr>
          <w:rFonts w:hint="eastAsia" w:cs="宋体"/>
          <w:color w:val="auto"/>
          <w:szCs w:val="21"/>
          <w:highlight w:val="none"/>
        </w:rPr>
        <w:t xml:space="preserve">企业名称（盖章）： </w:t>
      </w:r>
      <w:r/>
    </w:p>
    <w:p>
      <w:pPr>
        <w:contextualSpacing/>
        <w:ind w:firstLine="6930"/>
        <w:spacing w:line="360" w:lineRule="auto"/>
        <w:rPr>
          <w:color w:val="auto"/>
          <w:szCs w:val="21"/>
          <w:highlight w:val="none"/>
        </w:rPr>
      </w:pPr>
      <w:r>
        <w:rPr>
          <w:rFonts w:hint="eastAsia" w:cs="宋体"/>
          <w:color w:val="auto"/>
          <w:szCs w:val="21"/>
          <w:highlight w:val="none"/>
        </w:rPr>
        <w:t xml:space="preserve">日 期：</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b/>
          <w:color w:val="auto"/>
          <w:highlight w:val="none"/>
        </w:rPr>
      </w:pPr>
      <w:r/>
      <w:bookmarkStart w:id="7" w:name="OLE_LINK14"/>
      <w:r/>
      <w:bookmarkStart w:id="8" w:name="OLE_LINK13"/>
      <w:r>
        <w:rPr>
          <w:rFonts w:hint="eastAsia" w:ascii="宋体" w:hAnsi="宋体"/>
          <w:b/>
          <w:color w:val="auto"/>
          <w:highlight w:val="none"/>
        </w:rPr>
        <w:br w:type="page" w:clear="all"/>
      </w:r>
      <w:r/>
    </w:p>
    <w:p>
      <w:pPr>
        <w:ind w:firstLine="211"/>
        <w:spacing w:before="156" w:line="240" w:lineRule="exact"/>
        <w:rPr>
          <w:rFonts w:ascii="宋体" w:hAnsi="宋体"/>
          <w:b/>
          <w:color w:val="auto"/>
          <w:highlight w:val="none"/>
        </w:rPr>
      </w:pPr>
      <w:r>
        <w:rPr>
          <w:rFonts w:hint="eastAsia" w:ascii="宋体" w:hAnsi="宋体"/>
          <w:b/>
          <w:color w:val="auto"/>
          <w:highlight w:val="none"/>
        </w:rPr>
        <w:t xml:space="preserve">附：中小企业划型标准规定（工信部联企业〔2011〕300号）</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firstLine="210"/>
        <w:spacing w:before="156" w:line="24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b/>
          <w:color w:val="auto"/>
          <w:szCs w:val="21"/>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（4）残疾人福利性单位声明函</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bookmarkEnd w:id="7"/>
      <w:r/>
      <w:bookmarkEnd w:id="8"/>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日  期：</w:t>
      </w:r>
      <w:r/>
    </w:p>
    <w:p>
      <w:pPr>
        <w:rPr>
          <w:rFonts w:ascii="宋体" w:hAnsi="宋体"/>
          <w:b/>
          <w:color w:val="auto"/>
          <w:highlight w:val="none"/>
        </w:rPr>
      </w:pPr>
      <w:r>
        <w:rPr>
          <w:rFonts w:ascii="宋体" w:hAnsi="宋体"/>
          <w:color w:val="auto"/>
          <w:spacing w:val="6"/>
          <w:szCs w:val="21"/>
          <w:highlight w:val="none"/>
        </w:rPr>
        <w:br w:type="page" w:clear="all"/>
      </w:r>
      <w:r>
        <w:rPr>
          <w:rFonts w:hint="eastAsia" w:ascii="宋体" w:hAnsi="宋体"/>
          <w:b/>
          <w:color w:val="auto"/>
          <w:highlight w:val="none"/>
        </w:rPr>
        <w:t xml:space="preserve">附件7、投标（响应）保证承诺书</w:t>
      </w:r>
      <w:r/>
    </w:p>
    <w:p>
      <w:pPr>
        <w:jc w:val="center"/>
        <w:spacing w:line="48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投标（响应）保证承诺书</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45"/>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46"/>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46"/>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46"/>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46"/>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45"/>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rPr>
          <w:rFonts w:ascii="宋体" w:hAnsi="宋体"/>
          <w:b/>
          <w:color w:val="auto"/>
          <w:highlight w:val="none"/>
        </w:rPr>
      </w:pPr>
      <w:r>
        <w:rPr>
          <w:rFonts w:ascii="宋体" w:hAnsi="宋体"/>
          <w:color w:val="auto"/>
          <w:highlight w:val="none"/>
        </w:rPr>
        <w:br w:type="page" w:clear="all"/>
      </w:r>
      <w:r>
        <w:rPr>
          <w:rFonts w:hint="eastAsia" w:ascii="宋体" w:hAnsi="宋体"/>
          <w:b/>
          <w:color w:val="auto"/>
          <w:highlight w:val="none"/>
        </w:rPr>
        <w:t xml:space="preserve">附件8、投标人与其他单位存在控股、管理关系情况表</w:t>
      </w:r>
      <w:r/>
    </w:p>
    <w:p>
      <w:pPr>
        <w:jc w:val="center"/>
        <w:spacing w:line="360" w:lineRule="auto"/>
        <w:widowControl/>
        <w:rPr>
          <w:rFonts w:ascii="宋体" w:hAnsi="宋体"/>
          <w:b/>
          <w:color w:val="auto"/>
          <w:szCs w:val="21"/>
          <w:highlight w:val="none"/>
          <w:shd w:val="clear" w:color="auto" w:fill="ffffff"/>
        </w:rPr>
      </w:pPr>
      <w:r>
        <w:rPr>
          <w:rFonts w:ascii="宋体" w:hAnsi="宋体"/>
          <w:b/>
          <w:color w:val="auto"/>
          <w:szCs w:val="21"/>
          <w:highlight w:val="none"/>
          <w:shd w:val="clear" w:color="auto" w:fill="ffffff"/>
        </w:rPr>
      </w:r>
      <w:r/>
    </w:p>
    <w:p>
      <w:pPr>
        <w:jc w:val="center"/>
        <w:spacing w:line="360" w:lineRule="auto"/>
        <w:widowControl/>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投标人与其他单位存在控股、管理关系情况表</w:t>
      </w:r>
      <w:r/>
    </w:p>
    <w:tbl>
      <w:tblPr>
        <w:tblStyle w:val="955"/>
        <w:tblW w:w="111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与投标人存在直接股权关系</w:t>
            </w:r>
            <w:r/>
          </w:p>
        </w:tc>
        <w:tc>
          <w:tcPr>
            <w:gridSpan w:val="3"/>
            <w:tcW w:w="4419"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与投标人存在直接管理关系</w:t>
            </w:r>
            <w:r/>
          </w:p>
        </w:tc>
      </w:tr>
      <w:tr>
        <w:trPr>
          <w:jc w:val="center"/>
          <w:trHeight w:val="768"/>
        </w:trPr>
        <w:tc>
          <w:tcPr>
            <w:tcW w:w="1977"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440"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r>
        <w:trPr>
          <w:jc w:val="center"/>
          <w:trHeight w:val="850"/>
        </w:trPr>
        <w:tc>
          <w:tcPr>
            <w:tcW w:w="197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04"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06"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58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440"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711"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c>
          <w:tcPr>
            <w:tcW w:w="1268"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r>
            <w:r/>
          </w:p>
        </w:tc>
      </w:tr>
    </w:tbl>
    <w:p>
      <w:pPr>
        <w:ind w:firstLine="566"/>
        <w:spacing w:line="360" w:lineRule="auto"/>
        <w:rPr>
          <w:rFonts w:ascii="宋体" w:hAnsi="宋体"/>
          <w:b/>
          <w:color w:val="auto"/>
          <w:szCs w:val="21"/>
          <w:highlight w:val="none"/>
        </w:rPr>
        <w:outlineLvl w:val="1"/>
      </w:pPr>
      <w:r>
        <w:rPr>
          <w:rFonts w:hint="eastAsia" w:ascii="宋体" w:hAnsi="宋体"/>
          <w:b/>
          <w:color w:val="auto"/>
          <w:szCs w:val="21"/>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ascii="宋体" w:hAnsi="宋体"/>
          <w:b/>
          <w:color w:val="auto"/>
          <w:szCs w:val="21"/>
          <w:highlight w:val="none"/>
        </w:rPr>
      </w:pPr>
      <w:r>
        <w:rPr>
          <w:rFonts w:hint="eastAsia" w:ascii="宋体" w:hAnsi="宋体"/>
          <w:b/>
          <w:color w:val="auto"/>
          <w:szCs w:val="21"/>
          <w:highlight w:val="none"/>
        </w:rPr>
        <w:t xml:space="preserve">2、其中“直接控股”是指投标人与大型企业之间存在直接投资并控股（非普通持股）的关系。</w:t>
      </w:r>
      <w:r/>
    </w:p>
    <w:p>
      <w:pPr>
        <w:ind w:firstLine="566"/>
        <w:spacing w:after="120"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投标人（盖章）： </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8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rPr>
          <w:color w:val="auto"/>
          <w:szCs w:val="21"/>
          <w:highlight w:val="none"/>
        </w:rPr>
      </w:pPr>
      <w:r>
        <w:rPr>
          <w:color w:val="auto"/>
          <w:szCs w:val="21"/>
          <w:highlight w:val="none"/>
        </w:rPr>
        <w:br w:type="page" w:clear="all"/>
      </w:r>
      <w:r/>
    </w:p>
    <w:p>
      <w:pPr>
        <w:pStyle w:val="957"/>
        <w:ind w:left="0" w:firstLine="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附件9</w:t>
      </w:r>
      <w:r/>
    </w:p>
    <w:p>
      <w:pPr>
        <w:ind w:left="0"/>
        <w:jc w:val="left"/>
        <w:rPr>
          <w:rFonts w:hint="eastAsia" w:ascii="宋体" w:hAnsi="宋体"/>
          <w:b/>
          <w:color w:val="auto"/>
          <w:sz w:val="21"/>
          <w:szCs w:val="21"/>
          <w:highlight w:val="none"/>
        </w:rPr>
        <w:outlineLvl w:val="0"/>
      </w:pPr>
      <w:r>
        <w:rPr>
          <w:rFonts w:hint="eastAsia" w:ascii="宋体" w:hAnsi="宋体"/>
          <w:b/>
          <w:color w:val="auto"/>
          <w:sz w:val="21"/>
          <w:szCs w:val="21"/>
          <w:highlight w:val="none"/>
        </w:rPr>
        <w:t xml:space="preserve">关于符合本国产品标准的声明函</w:t>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pStyle w:val="981"/>
        <w:ind w:firstLine="480"/>
        <w:spacing w:before="30" w:after="30"/>
        <w:shd w:val="clear" w:color="auto" w:fill="ffffff"/>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1"/>
        <w:ind w:firstLine="480"/>
        <w:spacing w:before="0" w:after="0"/>
        <w:shd w:val="clear" w:color="auto" w:fill="ffffff"/>
        <w:rPr>
          <w:color w:val="auto"/>
          <w:highlight w:val="none"/>
        </w:rPr>
      </w:pPr>
      <w:r>
        <w:rPr>
          <w:rFonts w:hint="eastAsia"/>
          <w:color w:val="auto"/>
          <w:highlight w:val="none"/>
        </w:rPr>
        <w:t xml:space="preserve">1.</w:t>
      </w:r>
      <w:r>
        <w:rPr>
          <w:rStyle w:val="986"/>
          <w:rFonts w:hint="eastAsia"/>
          <w:color w:val="auto"/>
          <w:highlight w:val="none"/>
          <w:u w:val="single"/>
        </w:rPr>
        <w:t xml:space="preserve">（产品名称1）</w:t>
      </w:r>
      <w:r>
        <w:rPr>
          <w:rStyle w:val="986"/>
          <w:rFonts w:hint="eastAsia"/>
          <w:color w:val="auto"/>
          <w:highlight w:val="none"/>
          <w:vertAlign w:val="superscript"/>
        </w:rPr>
        <w:t xml:space="preserve">1</w:t>
      </w:r>
      <w:r>
        <w:rPr>
          <w:rFonts w:hint="eastAsia"/>
          <w:color w:val="auto"/>
          <w:highlight w:val="none"/>
        </w:rPr>
        <w:t xml:space="preserve">，生产厂为</w:t>
      </w:r>
      <w:r>
        <w:rPr>
          <w:rStyle w:val="986"/>
          <w:rFonts w:hint="eastAsia"/>
          <w:color w:val="auto"/>
          <w:highlight w:val="none"/>
          <w:u w:val="single"/>
        </w:rPr>
        <w:t xml:space="preserve">（厂名）</w:t>
      </w:r>
      <w:r>
        <w:rPr>
          <w:rStyle w:val="986"/>
          <w:rFonts w:hint="eastAsia"/>
          <w:color w:val="auto"/>
          <w:highlight w:val="none"/>
          <w:vertAlign w:val="superscript"/>
        </w:rPr>
        <w:t xml:space="preserve">2</w:t>
      </w:r>
      <w:r>
        <w:rPr>
          <w:rFonts w:hint="eastAsia"/>
          <w:color w:val="auto"/>
          <w:highlight w:val="none"/>
        </w:rPr>
        <w:t xml:space="preserve">，厂址为</w:t>
      </w:r>
      <w:r>
        <w:rPr>
          <w:rStyle w:val="986"/>
          <w:rFonts w:hint="eastAsia"/>
          <w:color w:val="auto"/>
          <w:highlight w:val="none"/>
          <w:u w:val="single"/>
        </w:rPr>
        <w:t xml:space="preserve">（生产厂址）</w:t>
      </w:r>
      <w:r>
        <w:rPr>
          <w:rFonts w:hint="eastAsia"/>
          <w:color w:val="auto"/>
          <w:highlight w:val="none"/>
        </w:rPr>
        <w:t xml:space="preserve">。</w:t>
      </w:r>
      <w:r>
        <w:rPr>
          <w:rStyle w:val="986"/>
          <w:rFonts w:hint="eastAsia" w:eastAsia="Times New Roman" w:cs="Times New Roman"/>
          <w:strike/>
          <w:color w:val="auto"/>
          <w:sz w:val="21"/>
          <w:szCs w:val="22"/>
          <w:highlight w:val="none"/>
          <w:u w:val="single"/>
        </w:rPr>
        <w:t xml:space="preserve">（产品名称1）</w:t>
      </w:r>
      <w:r>
        <w:rPr>
          <w:rFonts w:hint="eastAsia"/>
          <w:color w:val="auto"/>
          <w:highlight w:val="none"/>
        </w:rPr>
        <w:t xml:space="preserve">的中国境内生产的组件成本占比≥</w:t>
      </w:r>
      <w:r>
        <w:rPr>
          <w:rStyle w:val="986"/>
          <w:rFonts w:hint="eastAsia" w:eastAsia="Times New Roman" w:cs="Times New Roman"/>
          <w:strike/>
          <w:color w:val="auto"/>
          <w:sz w:val="21"/>
          <w:szCs w:val="22"/>
          <w:highlight w:val="none"/>
          <w:u w:val="single"/>
        </w:rPr>
        <w:t xml:space="preserve">（规定比例）</w:t>
      </w:r>
      <w:r>
        <w:rPr>
          <w:rStyle w:val="986"/>
          <w:rFonts w:hint="eastAsia"/>
          <w:color w:val="auto"/>
          <w:highlight w:val="none"/>
          <w:vertAlign w:val="superscript"/>
        </w:rPr>
        <w:t xml:space="preserve">3</w:t>
      </w:r>
      <w:r>
        <w:rPr>
          <w:rFonts w:hint="eastAsia"/>
          <w:color w:val="auto"/>
          <w:highlight w:val="none"/>
        </w:rPr>
        <w:t xml:space="preserve">。</w:t>
      </w:r>
      <w:r>
        <w:rPr>
          <w:rStyle w:val="986"/>
          <w:rFonts w:hint="eastAsia" w:eastAsia="Times New Roman" w:cs="Times New Roman"/>
          <w:strike/>
          <w:color w:val="auto"/>
          <w:sz w:val="21"/>
          <w:szCs w:val="22"/>
          <w:highlight w:val="none"/>
          <w:u w:val="single"/>
        </w:rPr>
        <w:t xml:space="preserve">（产品名称1）</w:t>
      </w:r>
      <w:r>
        <w:rPr>
          <w:rFonts w:hint="eastAsia"/>
          <w:color w:val="auto"/>
          <w:highlight w:val="none"/>
        </w:rPr>
        <w:t xml:space="preserve">的</w:t>
      </w:r>
      <w:r>
        <w:rPr>
          <w:rStyle w:val="986"/>
          <w:rFonts w:hint="eastAsia" w:eastAsia="Times New Roman" w:cs="Times New Roman"/>
          <w:strike/>
          <w:color w:val="auto"/>
          <w:sz w:val="21"/>
          <w:szCs w:val="22"/>
          <w:highlight w:val="none"/>
          <w:u w:val="single"/>
        </w:rPr>
        <w:t xml:space="preserve">（关键组件）</w:t>
      </w:r>
      <w:r>
        <w:rPr>
          <w:rStyle w:val="986"/>
          <w:rFonts w:hint="eastAsia"/>
          <w:color w:val="auto"/>
          <w:highlight w:val="none"/>
          <w:vertAlign w:val="superscript"/>
        </w:rPr>
        <w:t xml:space="preserve">4</w:t>
      </w:r>
      <w:r>
        <w:rPr>
          <w:rFonts w:hint="eastAsia"/>
          <w:color w:val="auto"/>
          <w:highlight w:val="none"/>
        </w:rPr>
        <w:t xml:space="preserve">在中国境内生产。</w:t>
      </w:r>
      <w:r>
        <w:rPr>
          <w:rStyle w:val="986"/>
          <w:rFonts w:hint="eastAsia" w:eastAsia="Times New Roman" w:cs="Times New Roman"/>
          <w:strike/>
          <w:color w:val="auto"/>
          <w:sz w:val="21"/>
          <w:szCs w:val="22"/>
          <w:highlight w:val="none"/>
          <w:u w:val="single"/>
        </w:rPr>
        <w:t xml:space="preserve">（产品名称1）</w:t>
      </w:r>
      <w:r>
        <w:rPr>
          <w:rFonts w:hint="eastAsia"/>
          <w:color w:val="auto"/>
          <w:highlight w:val="none"/>
        </w:rPr>
        <w:t xml:space="preserve">的</w:t>
      </w:r>
      <w:r>
        <w:rPr>
          <w:rStyle w:val="986"/>
          <w:rFonts w:hint="eastAsia" w:eastAsia="Times New Roman" w:cs="Times New Roman"/>
          <w:strike/>
          <w:color w:val="auto"/>
          <w:sz w:val="21"/>
          <w:szCs w:val="22"/>
          <w:highlight w:val="none"/>
          <w:u w:val="single"/>
        </w:rPr>
        <w:t xml:space="preserve">（关键工序）</w:t>
      </w:r>
      <w:r>
        <w:rPr>
          <w:rStyle w:val="986"/>
          <w:rFonts w:hint="eastAsia"/>
          <w:color w:val="auto"/>
          <w:highlight w:val="none"/>
          <w:vertAlign w:val="superscript"/>
        </w:rPr>
        <w:t xml:space="preserve">5</w:t>
      </w:r>
      <w:r>
        <w:rPr>
          <w:rFonts w:hint="eastAsia"/>
          <w:color w:val="auto"/>
          <w:highlight w:val="none"/>
        </w:rPr>
        <w:t xml:space="preserve">在中国境内完成。</w:t>
      </w:r>
      <w:r/>
    </w:p>
    <w:p>
      <w:pPr>
        <w:pStyle w:val="981"/>
        <w:ind w:firstLine="480"/>
        <w:spacing w:before="0" w:after="0"/>
        <w:shd w:val="clear" w:color="auto" w:fill="ffffff"/>
        <w:rPr>
          <w:color w:val="auto"/>
          <w:highlight w:val="none"/>
        </w:rPr>
      </w:pPr>
      <w:r>
        <w:rPr>
          <w:rFonts w:hint="eastAsia"/>
          <w:color w:val="auto"/>
          <w:highlight w:val="none"/>
        </w:rPr>
        <w:t xml:space="preserve">2.</w:t>
      </w:r>
      <w:r>
        <w:rPr>
          <w:rStyle w:val="986"/>
          <w:rFonts w:hint="eastAsia"/>
          <w:color w:val="auto"/>
          <w:highlight w:val="none"/>
          <w:u w:val="single"/>
        </w:rPr>
        <w:t xml:space="preserve">（产品名称2）</w:t>
      </w:r>
      <w:r>
        <w:rPr>
          <w:rFonts w:hint="eastAsia"/>
          <w:color w:val="auto"/>
          <w:highlight w:val="none"/>
        </w:rPr>
        <w:t xml:space="preserve">，生产厂为</w:t>
      </w:r>
      <w:r>
        <w:rPr>
          <w:rStyle w:val="986"/>
          <w:rFonts w:hint="eastAsia"/>
          <w:color w:val="auto"/>
          <w:highlight w:val="none"/>
          <w:u w:val="single"/>
        </w:rPr>
        <w:t xml:space="preserve">（厂名）</w:t>
      </w:r>
      <w:r>
        <w:rPr>
          <w:rFonts w:hint="eastAsia"/>
          <w:color w:val="auto"/>
          <w:highlight w:val="none"/>
        </w:rPr>
        <w:t xml:space="preserve">，厂址为</w:t>
      </w:r>
      <w:r>
        <w:rPr>
          <w:rStyle w:val="986"/>
          <w:rFonts w:hint="eastAsia"/>
          <w:color w:val="auto"/>
          <w:highlight w:val="none"/>
          <w:u w:val="single"/>
        </w:rPr>
        <w:t xml:space="preserve">（生产厂址）</w:t>
      </w:r>
      <w:r>
        <w:rPr>
          <w:rFonts w:hint="eastAsia"/>
          <w:color w:val="auto"/>
          <w:highlight w:val="none"/>
        </w:rPr>
        <w:t xml:space="preserve">。</w:t>
      </w:r>
      <w:r>
        <w:rPr>
          <w:rStyle w:val="986"/>
          <w:rFonts w:hint="eastAsia" w:eastAsia="Times New Roman" w:cs="Times New Roman"/>
          <w:strike/>
          <w:color w:val="auto"/>
          <w:sz w:val="21"/>
          <w:szCs w:val="22"/>
          <w:highlight w:val="none"/>
          <w:u w:val="single"/>
        </w:rPr>
        <w:t xml:space="preserve">（产品名称2）</w:t>
      </w:r>
      <w:r>
        <w:rPr>
          <w:rFonts w:hint="eastAsia"/>
          <w:color w:val="auto"/>
          <w:highlight w:val="none"/>
        </w:rPr>
        <w:t xml:space="preserve">的中国境内生产的组件成本占比≥</w:t>
      </w:r>
      <w:r>
        <w:rPr>
          <w:rStyle w:val="986"/>
          <w:rFonts w:hint="eastAsia" w:eastAsia="Times New Roman" w:cs="Times New Roman"/>
          <w:strike/>
          <w:color w:val="auto"/>
          <w:sz w:val="21"/>
          <w:szCs w:val="22"/>
          <w:highlight w:val="none"/>
          <w:u w:val="single"/>
        </w:rPr>
        <w:t xml:space="preserve">（规定比例）</w:t>
      </w:r>
      <w:r>
        <w:rPr>
          <w:rFonts w:hint="eastAsia"/>
          <w:color w:val="auto"/>
          <w:highlight w:val="none"/>
        </w:rPr>
        <w:t xml:space="preserve">。</w:t>
      </w:r>
      <w:r>
        <w:rPr>
          <w:rStyle w:val="986"/>
          <w:rFonts w:hint="eastAsia" w:eastAsia="Times New Roman" w:cs="Times New Roman"/>
          <w:strike/>
          <w:color w:val="auto"/>
          <w:sz w:val="21"/>
          <w:szCs w:val="22"/>
          <w:highlight w:val="none"/>
          <w:u w:val="single"/>
        </w:rPr>
        <w:t xml:space="preserve">（产品名称2）</w:t>
      </w:r>
      <w:r>
        <w:rPr>
          <w:rFonts w:hint="eastAsia"/>
          <w:color w:val="auto"/>
          <w:highlight w:val="none"/>
        </w:rPr>
        <w:t xml:space="preserve">的</w:t>
      </w:r>
      <w:r>
        <w:rPr>
          <w:rStyle w:val="986"/>
          <w:rFonts w:hint="eastAsia" w:eastAsia="Times New Roman" w:cs="Times New Roman"/>
          <w:strike/>
          <w:color w:val="auto"/>
          <w:sz w:val="21"/>
          <w:szCs w:val="22"/>
          <w:highlight w:val="none"/>
          <w:u w:val="single"/>
        </w:rPr>
        <w:t xml:space="preserve">（关键组件）</w:t>
      </w:r>
      <w:r>
        <w:rPr>
          <w:rFonts w:hint="eastAsia"/>
          <w:color w:val="auto"/>
          <w:highlight w:val="none"/>
        </w:rPr>
        <w:t xml:space="preserve">在中国境内生产。</w:t>
      </w:r>
      <w:r>
        <w:rPr>
          <w:rStyle w:val="986"/>
          <w:rFonts w:hint="eastAsia" w:eastAsia="Times New Roman" w:cs="Times New Roman"/>
          <w:strike/>
          <w:color w:val="auto"/>
          <w:sz w:val="21"/>
          <w:szCs w:val="22"/>
          <w:highlight w:val="none"/>
          <w:u w:val="single"/>
        </w:rPr>
        <w:t xml:space="preserve">（产品名称2）</w:t>
      </w:r>
      <w:r>
        <w:rPr>
          <w:rFonts w:hint="eastAsia"/>
          <w:color w:val="auto"/>
          <w:highlight w:val="none"/>
        </w:rPr>
        <w:t xml:space="preserve">的</w:t>
      </w:r>
      <w:r>
        <w:rPr>
          <w:rStyle w:val="986"/>
          <w:rFonts w:hint="eastAsia" w:eastAsia="Times New Roman" w:cs="Times New Roman"/>
          <w:strike/>
          <w:color w:val="auto"/>
          <w:sz w:val="21"/>
          <w:szCs w:val="22"/>
          <w:highlight w:val="none"/>
          <w:u w:val="single"/>
        </w:rPr>
        <w:t xml:space="preserve">（关键工序）</w:t>
      </w:r>
      <w:r>
        <w:rPr>
          <w:rFonts w:hint="eastAsia"/>
          <w:color w:val="auto"/>
          <w:highlight w:val="none"/>
        </w:rPr>
        <w:t xml:space="preserve">在中国境内完成。</w:t>
      </w:r>
      <w:r/>
    </w:p>
    <w:p>
      <w:pPr>
        <w:pStyle w:val="981"/>
        <w:ind w:firstLine="480"/>
        <w:spacing w:before="30" w:after="30"/>
        <w:shd w:val="clear" w:color="auto" w:fill="ffffff"/>
        <w:rPr>
          <w:color w:val="auto"/>
          <w:highlight w:val="none"/>
        </w:rPr>
      </w:pPr>
      <w:r>
        <w:rPr>
          <w:rFonts w:hint="eastAsia"/>
          <w:color w:val="auto"/>
          <w:highlight w:val="none"/>
        </w:rPr>
        <w:t xml:space="preserve">……</w:t>
      </w:r>
      <w:r/>
    </w:p>
    <w:p>
      <w:pPr>
        <w:pStyle w:val="981"/>
        <w:ind w:firstLine="480"/>
        <w:spacing w:before="30" w:after="30"/>
        <w:shd w:val="clear" w:color="auto" w:fill="ffffff"/>
        <w:rPr>
          <w:color w:val="auto"/>
          <w:highlight w:val="none"/>
        </w:rPr>
      </w:pPr>
      <w:r>
        <w:rPr>
          <w:rFonts w:hint="eastAsia"/>
          <w:color w:val="auto"/>
          <w:highlight w:val="none"/>
        </w:rPr>
        <w:t xml:space="preserve">本公司（单位）对上述声明内容的真实性负责。如有虚假，愿承担相应法律责任。</w:t>
      </w:r>
      <w:r/>
    </w:p>
    <w:p>
      <w:pPr>
        <w:pStyle w:val="981"/>
        <w:ind w:right="815"/>
        <w:jc w:val="center"/>
        <w:spacing w:before="30" w:after="30"/>
        <w:shd w:val="clear" w:color="auto" w:fill="ffffff"/>
        <w:rPr>
          <w:color w:val="auto"/>
          <w:highlight w:val="none"/>
        </w:rPr>
      </w:pPr>
      <w:r>
        <w:rPr>
          <w:rFonts w:hint="eastAsia" w:eastAsia="宋体"/>
          <w:color w:val="auto"/>
          <w:highlight w:val="none"/>
          <w:lang w:val="en-US" w:eastAsia="zh-CN"/>
        </w:rPr>
        <w:t xml:space="preserve">             </w:t>
      </w:r>
      <w:r>
        <w:rPr>
          <w:rFonts w:hint="eastAsia"/>
          <w:color w:val="auto"/>
          <w:highlight w:val="none"/>
        </w:rPr>
        <w:t xml:space="preserve">公司（单位）名称（盖章）：</w:t>
      </w:r>
      <w:r/>
    </w:p>
    <w:p>
      <w:pPr>
        <w:pStyle w:val="981"/>
        <w:ind w:left="0" w:right="815" w:firstLine="5400"/>
        <w:spacing w:before="0" w:after="0"/>
        <w:shd w:val="clear" w:color="auto" w:fill="ffffff"/>
        <w:rPr>
          <w:color w:val="auto"/>
          <w:highlight w:val="none"/>
        </w:rPr>
      </w:pPr>
      <w:r>
        <w:rPr>
          <w:rFonts w:hint="eastAsia"/>
          <w:color w:val="auto"/>
          <w:highlight w:val="none"/>
        </w:rPr>
        <w:t xml:space="preserve">日期： </w:t>
      </w:r>
      <w:r>
        <w:rPr>
          <w:color w:val="auto"/>
          <w:highlight w:val="none"/>
        </w:rPr>
        <w:t xml:space="preserve">    </w:t>
      </w:r>
      <w:r>
        <w:rPr>
          <w:rFonts w:hint="eastAsia"/>
          <w:color w:val="auto"/>
          <w:highlight w:val="none"/>
        </w:rPr>
        <w:t xml:space="preserve">年 </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 xml:space="preserve">日</w:t>
      </w:r>
      <w:r/>
    </w:p>
    <w:p>
      <w:pPr>
        <w:pStyle w:val="981"/>
        <w:ind w:left="0" w:firstLine="0"/>
        <w:keepLines w:val="0"/>
        <w:keepNext w:val="0"/>
        <w:pageBreakBefore w:val="0"/>
        <w:spacing w:before="0" w:beforeAutospacing="0" w:after="0" w:afterAutospacing="0"/>
        <w:shd w:val="clear" w:color="auto" w:fill="ffffff"/>
        <w:widowControl/>
        <w:rPr>
          <w:color w:val="auto"/>
          <w:highlight w:val="none"/>
        </w:rPr>
        <w:outlineLvl w:val="9"/>
      </w:pPr>
      <w:r>
        <w:rPr>
          <w:rFonts w:hint="eastAsia"/>
          <w:color w:val="auto"/>
          <w:highlight w:val="none"/>
        </w:rPr>
        <w:t xml:space="preserve">__________________</w:t>
      </w:r>
      <w:r/>
    </w:p>
    <w:p>
      <w:pPr>
        <w:pStyle w:val="981"/>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1.产品如有型号，请在“产品名称”栏一并填写。</w:t>
      </w:r>
      <w:r/>
    </w:p>
    <w:p>
      <w:pPr>
        <w:pStyle w:val="981"/>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2.生产厂名与厂址应与生产厂营业执照载明的相关信息保持一致。</w:t>
      </w:r>
      <w:r/>
    </w:p>
    <w:p>
      <w:pPr>
        <w:pStyle w:val="981"/>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3.该产品的中国境内生产的组件成本占比相关要求实施前，“规定比例”栏可不填，下同。</w:t>
      </w:r>
      <w:r/>
    </w:p>
    <w:p>
      <w:pPr>
        <w:pStyle w:val="981"/>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4.该产品的关键组件要求实施前，“关键组件”栏可不填，下同。</w:t>
      </w:r>
      <w:r/>
    </w:p>
    <w:p>
      <w:pPr>
        <w:pStyle w:val="981"/>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5.该产品的关键工序要求实施前，“关键工序”栏可不填，下同。</w:t>
      </w:r>
      <w:r/>
    </w:p>
    <w:p>
      <w:pPr>
        <w:pStyle w:val="981"/>
        <w:ind w:firstLine="480"/>
        <w:keepLines w:val="0"/>
        <w:keepNext w:val="0"/>
        <w:pageBreakBefore w:val="0"/>
        <w:spacing w:before="0" w:beforeAutospacing="0" w:after="0" w:afterAutospacing="0"/>
        <w:shd w:val="clear" w:color="auto" w:fill="ffffff"/>
        <w:widowControl/>
        <w:rPr>
          <w:color w:val="auto"/>
          <w:sz w:val="21"/>
          <w:szCs w:val="21"/>
          <w:highlight w:val="none"/>
        </w:rPr>
        <w:outlineLvl w:val="9"/>
      </w:pPr>
      <w:r>
        <w:rPr>
          <w:rFonts w:hint="eastAsia"/>
          <w:color w:val="auto"/>
          <w:sz w:val="21"/>
          <w:szCs w:val="21"/>
          <w:highlight w:val="none"/>
        </w:rPr>
        <w:t xml:space="preserve">6</w:t>
      </w:r>
      <w:r>
        <w:rPr>
          <w:color w:val="auto"/>
          <w:sz w:val="21"/>
          <w:szCs w:val="21"/>
          <w:highlight w:val="none"/>
        </w:rPr>
        <w:t xml:space="preserve">.</w:t>
      </w:r>
      <w:r>
        <w:rPr>
          <w:rFonts w:hint="eastAsia"/>
          <w:b/>
          <w:color w:val="auto"/>
          <w:sz w:val="21"/>
          <w:szCs w:val="21"/>
          <w:highlight w:val="none"/>
        </w:rPr>
        <w:t xml:space="preserve">用</w:t>
      </w:r>
      <w:r>
        <w:rPr>
          <w:rFonts w:hint="eastAsia" w:eastAsia="宋体"/>
          <w:b/>
          <w:color w:val="auto"/>
          <w:sz w:val="21"/>
          <w:szCs w:val="21"/>
          <w:highlight w:val="none"/>
          <w:lang w:val="en-US" w:eastAsia="zh-CN"/>
        </w:rPr>
        <w:t xml:space="preserve">横线</w:t>
      </w:r>
      <w:r>
        <w:rPr>
          <w:rFonts w:hint="eastAsia"/>
          <w:b/>
          <w:color w:val="auto"/>
          <w:sz w:val="21"/>
          <w:szCs w:val="21"/>
          <w:highlight w:val="none"/>
        </w:rPr>
        <w:t xml:space="preserve">划除的地方无需填写。</w:t>
      </w:r>
      <w:r/>
    </w:p>
    <w:p>
      <w:pPr>
        <w:rPr>
          <w:rFonts w:hint="eastAsia"/>
          <w:color w:val="auto"/>
          <w:highlight w:val="none"/>
          <w:lang w:val="en-US" w:eastAsia="zh-CN"/>
        </w:rPr>
      </w:pPr>
      <w:r>
        <w:rPr>
          <w:rFonts w:hint="eastAsia"/>
          <w:color w:val="auto"/>
          <w:highlight w:val="none"/>
          <w:lang w:val="en-US" w:eastAsia="zh-CN"/>
        </w:rPr>
      </w:r>
      <w:r/>
    </w:p>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spacing w:line="360" w:lineRule="auto"/>
        <w:rPr>
          <w:rFonts w:hint="eastAsia" w:ascii="宋体" w:hAnsi="宋体" w:eastAsia="宋体" w:cs="宋体"/>
          <w:b/>
          <w:color w:val="auto"/>
          <w:highlight w:val="none"/>
          <w:lang w:eastAsia="zh-CN"/>
        </w:rPr>
      </w:pPr>
      <w:r>
        <w:rPr>
          <w:rFonts w:hint="eastAsia" w:ascii="宋体" w:hAnsi="宋体" w:cs="宋体"/>
          <w:b/>
          <w:color w:val="auto"/>
          <w:highlight w:val="none"/>
        </w:rPr>
        <w:t xml:space="preserve">附件1</w:t>
      </w:r>
      <w:r>
        <w:rPr>
          <w:rFonts w:hint="eastAsia" w:ascii="宋体" w:hAnsi="宋体" w:cs="宋体"/>
          <w:b/>
          <w:color w:val="auto"/>
          <w:highlight w:val="none"/>
          <w:lang w:val="en-US" w:eastAsia="zh-CN"/>
        </w:rPr>
        <w:t xml:space="preserve">0</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无利害关系声明函</w:t>
      </w:r>
      <w:r/>
    </w:p>
    <w:p>
      <w:pPr>
        <w:pStyle w:val="956"/>
        <w:ind w:firstLine="560"/>
        <w:rPr>
          <w:rFonts w:hint="eastAsia"/>
          <w:color w:val="auto"/>
          <w:highlight w:val="none"/>
        </w:rPr>
      </w:pPr>
      <w:r>
        <w:rPr>
          <w:rFonts w:hint="eastAsia"/>
          <w:color w:val="auto"/>
          <w:highlight w:val="none"/>
        </w:rPr>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致:</w:t>
      </w:r>
      <w:r>
        <w:rPr>
          <w:rFonts w:hint="eastAsia" w:ascii="宋体" w:hAnsi="宋体" w:cs="宋体"/>
          <w:bCs/>
          <w:color w:val="auto"/>
          <w:szCs w:val="21"/>
          <w:highlight w:val="none"/>
          <w:u w:val="single"/>
        </w:rPr>
        <w:t xml:space="preserve">苏州工业园区服务外包职业学院、</w:t>
      </w:r>
      <w:r>
        <w:rPr>
          <w:rFonts w:hint="eastAsia"/>
          <w:bCs/>
          <w:color w:val="auto"/>
          <w:highlight w:val="none"/>
          <w:u w:val="single"/>
        </w:rPr>
        <w:t xml:space="preserve">苏州市原鑫招投标咨询服务有限公司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我(公司/本人，以下统称我公司)自愿参加</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(项目名称和项目编号)的谈判响应，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并做出如下承诺: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一、本单位及单位法定代表人、董事、监事、股东，与本采购项目的采购人、采购代理机构及相关人员不存在任何可能影响采购活动公平、公正的利害关系。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本单位及本单位法定代表人、董事、监事、股东，与本采购项目的采购人、采购代理机构、参加本项目响应的其他供应商及相关人员不存在《中华人民共和国政府采购法实施条例》第九条第四款所列的夫妻、直系血亲、三代以内旁系血亲或近姻亲关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如声明不实，我公司愿意承担由此引发的一切法律责任，包括被取消响应资格、成交资格等后果。</w:t>
      </w:r>
      <w:r/>
    </w:p>
    <w:p>
      <w:pPr>
        <w:ind w:firstLine="630"/>
        <w:jc w:val="left"/>
        <w:spacing w:line="360" w:lineRule="auto"/>
        <w:rPr>
          <w:rFonts w:hint="eastAsia"/>
          <w:color w:val="auto"/>
          <w:szCs w:val="21"/>
          <w:highlight w:val="none"/>
        </w:rPr>
      </w:pPr>
      <w:r>
        <w:rPr>
          <w:rFonts w:hint="eastAsia"/>
          <w:color w:val="auto"/>
          <w:szCs w:val="21"/>
          <w:highlight w:val="none"/>
        </w:rPr>
      </w:r>
      <w:r/>
    </w:p>
    <w:p>
      <w:pPr>
        <w:ind w:firstLine="630"/>
        <w:jc w:val="left"/>
        <w:spacing w:line="360" w:lineRule="auto"/>
        <w:rPr>
          <w:color w:val="auto"/>
          <w:szCs w:val="21"/>
          <w:highlight w:val="none"/>
        </w:rPr>
      </w:pPr>
      <w:r>
        <w:rPr>
          <w:rFonts w:hint="eastAsia"/>
          <w:color w:val="auto"/>
          <w:szCs w:val="21"/>
          <w:highlight w:val="none"/>
        </w:rPr>
        <w:t xml:space="preserve">供应商：（公章）</w:t>
      </w:r>
      <w:r/>
    </w:p>
    <w:p>
      <w:pPr>
        <w:ind w:firstLine="630"/>
        <w:jc w:val="left"/>
        <w:spacing w:line="360" w:lineRule="auto"/>
        <w:rPr>
          <w:color w:val="auto"/>
          <w:szCs w:val="21"/>
          <w:highlight w:val="none"/>
        </w:rPr>
      </w:pPr>
      <w:r>
        <w:rPr>
          <w:rFonts w:hint="eastAsia"/>
          <w:color w:val="auto"/>
          <w:szCs w:val="21"/>
          <w:highlight w:val="none"/>
        </w:rPr>
        <w:t xml:space="preserve">法定代表人或代理人（签字或盖章）</w:t>
      </w:r>
      <w:r>
        <w:rPr>
          <w:rFonts w:hint="eastAsia"/>
          <w:bCs/>
          <w:color w:val="auto"/>
          <w:szCs w:val="21"/>
          <w:highlight w:val="none"/>
        </w:rPr>
        <w:t xml:space="preserve">：</w:t>
      </w:r>
      <w:r/>
    </w:p>
    <w:p>
      <w:pPr>
        <w:ind w:firstLine="630"/>
        <w:spacing w:line="360" w:lineRule="auto"/>
        <w:rPr>
          <w:b/>
          <w:color w:val="auto"/>
          <w:szCs w:val="21"/>
          <w:highlight w:val="none"/>
        </w:rPr>
      </w:pPr>
      <w:r>
        <w:rPr>
          <w:rFonts w:hint="eastAsia"/>
          <w:bCs/>
          <w:color w:val="auto"/>
          <w:szCs w:val="21"/>
          <w:highlight w:val="none"/>
        </w:rPr>
        <w:t xml:space="preserve">日期</w:t>
      </w:r>
      <w:r>
        <w:rPr>
          <w:bCs/>
          <w:color w:val="auto"/>
          <w:szCs w:val="21"/>
          <w:highlight w:val="none"/>
        </w:rPr>
        <w:t xml:space="preserve">:</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850" w:right="907" w:bottom="1276" w:left="907" w:header="624" w:footer="283"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PMingLiU">
    <w:panose1 w:val="02020500000000000000"/>
  </w:font>
  <w:font w:name="Times">
    <w:panose1 w:val="02020603050405020304"/>
  </w:font>
  <w:font w:name="方正黑体简体">
    <w:panose1 w:val="020B0503020202020204"/>
  </w:font>
  <w:font w:name="Wingdings">
    <w:panose1 w:val="05000000000000000000"/>
  </w:font>
  <w:font w:name="Tahoma">
    <w:panose1 w:val="020B0604030504040204"/>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21</w:t>
    </w:r>
    <w:r>
      <w:rPr>
        <w:rFonts w:ascii="宋体" w:hAnsi="宋体"/>
      </w:rPr>
      <w:fldChar w:fldCharType="end"/>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84"/>
      </w:rPr>
      <w:framePr w:wrap="around" w:vAnchor="text" w:hAnchor="margin" w:xAlign="center" w:y="1"/>
    </w:pPr>
    <w:r>
      <w:fldChar w:fldCharType="begin"/>
    </w:r>
    <w:r>
      <w:rPr>
        <w:rStyle w:val="984"/>
      </w:rPr>
      <w:instrText xml:space="preserve">PAGE  </w:instrTex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rPr>
        <w:rFonts w:hint="eastAsia" w:ascii="宋体" w:hAnsi="宋体" w:eastAsia="宋体"/>
        <w:lang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JSZC-320591-SZYX-T2026-0021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567" w:hanging="567"/>
        <w:tabs>
          <w:tab w:val="left" w:pos="567"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5">
    <w:multiLevelType w:val="hybridMultilevel"/>
    <w:lvl w:ilvl="0">
      <w:start w:val="1"/>
      <w:numFmt w:val="bullet"/>
      <w:pStyle w:val="1044"/>
      <w:isLgl w:val="false"/>
      <w:suff w:val="tab"/>
      <w:lvlText w:val=""/>
      <w:lvlJc w:val="left"/>
      <w:pPr>
        <w:ind w:left="360" w:hanging="360"/>
        <w:tabs>
          <w:tab w:val="left" w:pos="360" w:leader="none"/>
        </w:tabs>
      </w:pPr>
      <w:rPr>
        <w:rFonts w:hint="default" w:ascii="Symbol" w:hAnsi="Symbol"/>
        <w:lang w:val="en-US"/>
      </w:rPr>
    </w:lvl>
    <w:lvl w:ilvl="1">
      <w:start w:val="1"/>
      <w:numFmt w:val="bullet"/>
      <w:isLgl w:val="false"/>
      <w:suff w:val="tab"/>
      <w:lvlText w:val=""/>
      <w:lvlJc w:val="left"/>
      <w:pPr>
        <w:ind w:left="1140" w:hanging="420"/>
        <w:tabs>
          <w:tab w:val="left" w:pos="1140" w:leader="none"/>
        </w:tabs>
      </w:pPr>
      <w:rPr>
        <w:rFonts w:hint="default" w:ascii="Wingdings" w:hAnsi="Wingdings"/>
        <w:lang w:val="en-US"/>
      </w:rPr>
    </w:lvl>
    <w:lvl w:ilvl="2">
      <w:start w:val="1"/>
      <w:numFmt w:val="bullet"/>
      <w:isLgl w:val="false"/>
      <w:suff w:val="tab"/>
      <w:lvlText w:val=""/>
      <w:lvlJc w:val="left"/>
      <w:pPr>
        <w:ind w:left="1800" w:hanging="360"/>
        <w:tabs>
          <w:tab w:val="left" w:pos="1800" w:leader="none"/>
        </w:tabs>
      </w:pPr>
      <w:rPr>
        <w:rFonts w:hint="default" w:ascii="Wingdings" w:hAnsi="Wingdings"/>
      </w:rPr>
    </w:lvl>
    <w:lvl w:ilvl="3">
      <w:start w:val="1"/>
      <w:numFmt w:val="bullet"/>
      <w:isLgl w:val="false"/>
      <w:suff w:val="tab"/>
      <w:lvlText w:val=""/>
      <w:lvlJc w:val="left"/>
      <w:pPr>
        <w:ind w:left="2520" w:hanging="360"/>
        <w:tabs>
          <w:tab w:val="left" w:pos="2520" w:leader="none"/>
        </w:tabs>
      </w:pPr>
      <w:rPr>
        <w:rFonts w:hint="default" w:ascii="Symbol" w:hAnsi="Symbol"/>
      </w:rPr>
    </w:lvl>
    <w:lvl w:ilvl="4">
      <w:start w:val="1"/>
      <w:numFmt w:val="bullet"/>
      <w:isLgl w:val="false"/>
      <w:suff w:val="tab"/>
      <w:lvlText w:val="o"/>
      <w:lvlJc w:val="left"/>
      <w:pPr>
        <w:ind w:left="3240" w:hanging="360"/>
        <w:tabs>
          <w:tab w:val="left" w:pos="3240" w:leader="none"/>
        </w:tabs>
      </w:pPr>
      <w:rPr>
        <w:rFonts w:hint="default" w:ascii="Courier New" w:hAnsi="Courier New" w:cs="Courier New"/>
      </w:rPr>
    </w:lvl>
    <w:lvl w:ilvl="5">
      <w:start w:val="1"/>
      <w:numFmt w:val="bullet"/>
      <w:isLgl w:val="false"/>
      <w:suff w:val="tab"/>
      <w:lvlText w:val=""/>
      <w:lvlJc w:val="left"/>
      <w:pPr>
        <w:ind w:left="3960" w:hanging="360"/>
        <w:tabs>
          <w:tab w:val="left" w:pos="3960" w:leader="none"/>
        </w:tabs>
      </w:pPr>
      <w:rPr>
        <w:rFonts w:hint="default" w:ascii="Wingdings" w:hAnsi="Wingdings"/>
      </w:rPr>
    </w:lvl>
    <w:lvl w:ilvl="6">
      <w:start w:val="1"/>
      <w:numFmt w:val="bullet"/>
      <w:isLgl w:val="false"/>
      <w:suff w:val="tab"/>
      <w:lvlText w:val=""/>
      <w:lvlJc w:val="left"/>
      <w:pPr>
        <w:ind w:left="4680" w:hanging="360"/>
        <w:tabs>
          <w:tab w:val="left" w:pos="4680" w:leader="none"/>
        </w:tabs>
      </w:pPr>
      <w:rPr>
        <w:rFonts w:hint="default" w:ascii="Symbol" w:hAnsi="Symbol"/>
      </w:rPr>
    </w:lvl>
    <w:lvl w:ilvl="7">
      <w:start w:val="1"/>
      <w:numFmt w:val="bullet"/>
      <w:isLgl w:val="false"/>
      <w:suff w:val="tab"/>
      <w:lvlText w:val="o"/>
      <w:lvlJc w:val="left"/>
      <w:pPr>
        <w:ind w:left="5400" w:hanging="360"/>
        <w:tabs>
          <w:tab w:val="left" w:pos="5400" w:leader="none"/>
        </w:tabs>
      </w:pPr>
      <w:rPr>
        <w:rFonts w:hint="default" w:ascii="Courier New" w:hAnsi="Courier New" w:cs="Courier New"/>
      </w:rPr>
    </w:lvl>
    <w:lvl w:ilvl="8">
      <w:start w:val="1"/>
      <w:numFmt w:val="bullet"/>
      <w:isLgl w:val="false"/>
      <w:suff w:val="tab"/>
      <w:lvlText w:val=""/>
      <w:lvlJc w:val="left"/>
      <w:pPr>
        <w:ind w:left="6120" w:hanging="360"/>
        <w:tabs>
          <w:tab w:val="left" w:pos="6120" w:leader="none"/>
        </w:tabs>
      </w:pPr>
      <w:rPr>
        <w:rFonts w:hint="default" w:ascii="Wingdings" w:hAnsi="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32">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ascii="宋体" w:hAnsi="宋体" w:eastAsia="宋体"/>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5">
    <w:multiLevelType w:val="hybridMultilevel"/>
    <w:lvl w:ilvl="0">
      <w:start w:val="1"/>
      <w:numFmt w:val="decimal"/>
      <w:pStyle w:val="1061"/>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Thousand"/>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1118" w:hanging="420"/>
      </w:pPr>
      <w:rPr>
        <w:rFonts w:hint="eastAsia"/>
      </w:rPr>
    </w:lvl>
    <w:lvl w:ilvl="2">
      <w:start w:val="1"/>
      <w:numFmt w:val="lowerRoman"/>
      <w:isLgl w:val="false"/>
      <w:suff w:val="tab"/>
      <w:lvlText w:val="%3."/>
      <w:lvlJc w:val="right"/>
      <w:pPr>
        <w:ind w:left="1538" w:hanging="420"/>
      </w:pPr>
      <w:rPr>
        <w:rFonts w:hint="eastAsia"/>
      </w:rPr>
    </w:lvl>
    <w:lvl w:ilvl="3">
      <w:start w:val="1"/>
      <w:numFmt w:val="decimal"/>
      <w:isLgl w:val="false"/>
      <w:suff w:val="tab"/>
      <w:lvlText w:val="%4."/>
      <w:lvlJc w:val="left"/>
      <w:pPr>
        <w:ind w:left="1958" w:hanging="420"/>
      </w:pPr>
      <w:rPr>
        <w:rFonts w:hint="eastAsia"/>
      </w:rPr>
    </w:lvl>
    <w:lvl w:ilvl="4">
      <w:start w:val="1"/>
      <w:numFmt w:val="lowerLetter"/>
      <w:isLgl w:val="false"/>
      <w:suff w:val="tab"/>
      <w:lvlText w:val="%5)"/>
      <w:lvlJc w:val="left"/>
      <w:pPr>
        <w:ind w:left="2378" w:hanging="420"/>
      </w:pPr>
      <w:rPr>
        <w:rFonts w:hint="eastAsia"/>
      </w:rPr>
    </w:lvl>
    <w:lvl w:ilvl="5">
      <w:start w:val="1"/>
      <w:numFmt w:val="lowerRoman"/>
      <w:isLgl w:val="false"/>
      <w:suff w:val="tab"/>
      <w:lvlText w:val="%6."/>
      <w:lvlJc w:val="right"/>
      <w:pPr>
        <w:ind w:left="2798" w:hanging="420"/>
      </w:pPr>
      <w:rPr>
        <w:rFonts w:hint="eastAsia"/>
      </w:rPr>
    </w:lvl>
    <w:lvl w:ilvl="6">
      <w:start w:val="1"/>
      <w:numFmt w:val="decimal"/>
      <w:isLgl w:val="false"/>
      <w:suff w:val="tab"/>
      <w:lvlText w:val="%7."/>
      <w:lvlJc w:val="left"/>
      <w:pPr>
        <w:ind w:left="3218" w:hanging="420"/>
      </w:pPr>
      <w:rPr>
        <w:rFonts w:hint="eastAsia"/>
      </w:rPr>
    </w:lvl>
    <w:lvl w:ilvl="7">
      <w:start w:val="1"/>
      <w:numFmt w:val="lowerLetter"/>
      <w:isLgl w:val="false"/>
      <w:suff w:val="tab"/>
      <w:lvlText w:val="%8)"/>
      <w:lvlJc w:val="left"/>
      <w:pPr>
        <w:ind w:left="3638" w:hanging="420"/>
      </w:pPr>
      <w:rPr>
        <w:rFonts w:hint="eastAsia"/>
      </w:rPr>
    </w:lvl>
    <w:lvl w:ilvl="8">
      <w:start w:val="1"/>
      <w:numFmt w:val="lowerRoman"/>
      <w:isLgl w:val="false"/>
      <w:suff w:val="tab"/>
      <w:lvlText w:val="%9."/>
      <w:lvlJc w:val="right"/>
      <w:pPr>
        <w:ind w:left="4058" w:hanging="420"/>
      </w:pPr>
      <w:rPr>
        <w:rFonts w:hint="eastAsia"/>
      </w:rPr>
    </w:lvl>
  </w:abstractNum>
  <w:abstractNum w:abstractNumId="40">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none"/>
      <w:pStyle w:val="1060"/>
      <w:isLgl w:val="false"/>
      <w:suff w:val="nothing"/>
      <w:lvlText w:val="%1"/>
      <w:lvlJc w:val="left"/>
      <w:pPr>
        <w:ind w:left="0" w:firstLine="0"/>
      </w:pPr>
      <w:rPr>
        <w:rFonts w:hint="default" w:ascii="Times New Roman" w:hAnsi="Times New Roman"/>
        <w:b/>
        <w:i w:val="0"/>
        <w:sz w:val="21"/>
      </w:rPr>
    </w:lvl>
    <w:lvl w:ilvl="1">
      <w:start w:val="1"/>
      <w:numFmt w:val="decimal"/>
      <w:pStyle w:val="1066"/>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049"/>
      <w:isLgl w:val="false"/>
      <w:suff w:val="nothing"/>
      <w:lvlText w:val="%1%2.%3　"/>
      <w:lvlJc w:val="left"/>
      <w:pPr>
        <w:ind w:left="0" w:firstLine="0"/>
      </w:pPr>
      <w:rPr>
        <w:rFonts w:hint="eastAsia" w:ascii="黑体" w:hAnsi="Times New Roman" w:eastAsia="黑体"/>
        <w:b w:val="0"/>
        <w:i w:val="0"/>
        <w:sz w:val="21"/>
      </w:rPr>
    </w:lvl>
    <w:lvl w:ilvl="3">
      <w:start w:val="1"/>
      <w:numFmt w:val="decimal"/>
      <w:pStyle w:val="1048"/>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051"/>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050"/>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70"/>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5"/>
  </w:num>
  <w:num w:numId="2">
    <w:abstractNumId w:val="42"/>
  </w:num>
  <w:num w:numId="3">
    <w:abstractNumId w:val="35"/>
  </w:num>
  <w:num w:numId="4">
    <w:abstractNumId w:val="6"/>
  </w:num>
  <w:num w:numId="5">
    <w:abstractNumId w:val="4"/>
  </w:num>
  <w:num w:numId="6">
    <w:abstractNumId w:val="13"/>
  </w:num>
  <w:num w:numId="7">
    <w:abstractNumId w:val="39"/>
  </w:num>
  <w:num w:numId="8">
    <w:abstractNumId w:val="33"/>
  </w:num>
  <w:num w:numId="9">
    <w:abstractNumId w:val="30"/>
  </w:num>
  <w:num w:numId="10">
    <w:abstractNumId w:val="2"/>
  </w:num>
  <w:num w:numId="11">
    <w:abstractNumId w:val="9"/>
  </w:num>
  <w:num w:numId="12">
    <w:abstractNumId w:val="43"/>
  </w:num>
  <w:num w:numId="13">
    <w:abstractNumId w:val="29"/>
  </w:num>
  <w:num w:numId="14">
    <w:abstractNumId w:val="26"/>
  </w:num>
  <w:num w:numId="15">
    <w:abstractNumId w:val="11"/>
  </w:num>
  <w:num w:numId="16">
    <w:abstractNumId w:val="41"/>
  </w:num>
  <w:num w:numId="17">
    <w:abstractNumId w:val="16"/>
  </w:num>
  <w:num w:numId="18">
    <w:abstractNumId w:val="37"/>
  </w:num>
  <w:num w:numId="19">
    <w:abstractNumId w:val="45"/>
  </w:num>
  <w:num w:numId="20">
    <w:abstractNumId w:val="20"/>
  </w:num>
  <w:num w:numId="21">
    <w:abstractNumId w:val="10"/>
  </w:num>
  <w:num w:numId="22">
    <w:abstractNumId w:val="0"/>
  </w:num>
  <w:num w:numId="23">
    <w:abstractNumId w:val="18"/>
  </w:num>
  <w:num w:numId="24">
    <w:abstractNumId w:val="28"/>
  </w:num>
  <w:num w:numId="25">
    <w:abstractNumId w:val="7"/>
  </w:num>
  <w:num w:numId="26">
    <w:abstractNumId w:val="15"/>
  </w:num>
  <w:num w:numId="27">
    <w:abstractNumId w:val="5"/>
  </w:num>
  <w:num w:numId="28">
    <w:abstractNumId w:val="8"/>
  </w:num>
  <w:num w:numId="29">
    <w:abstractNumId w:val="36"/>
  </w:num>
  <w:num w:numId="30">
    <w:abstractNumId w:val="38"/>
  </w:num>
  <w:num w:numId="31">
    <w:abstractNumId w:val="17"/>
  </w:num>
  <w:num w:numId="32">
    <w:abstractNumId w:val="22"/>
  </w:num>
  <w:num w:numId="33">
    <w:abstractNumId w:val="1"/>
  </w:num>
  <w:num w:numId="34">
    <w:abstractNumId w:val="3"/>
  </w:num>
  <w:num w:numId="35">
    <w:abstractNumId w:val="34"/>
  </w:num>
  <w:num w:numId="36">
    <w:abstractNumId w:val="44"/>
  </w:num>
  <w:num w:numId="37">
    <w:abstractNumId w:val="19"/>
  </w:num>
  <w:num w:numId="38">
    <w:abstractNumId w:val="14"/>
  </w:num>
  <w:num w:numId="39">
    <w:abstractNumId w:val="40"/>
  </w:num>
  <w:num w:numId="40">
    <w:abstractNumId w:val="21"/>
  </w:num>
  <w:num w:numId="41">
    <w:abstractNumId w:val="32"/>
  </w:num>
  <w:num w:numId="42">
    <w:abstractNumId w:val="27"/>
  </w:num>
  <w:num w:numId="43">
    <w:abstractNumId w:val="24"/>
  </w:num>
  <w:num w:numId="44">
    <w:abstractNumId w:val="12"/>
  </w:num>
  <w:num w:numId="45">
    <w:abstractNumId w:val="23"/>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54"/>
    <w:link w:val="945"/>
    <w:uiPriority w:val="9"/>
    <w:rPr>
      <w:rFonts w:ascii="Arial" w:hAnsi="Arial" w:eastAsia="Arial" w:cs="Arial"/>
      <w:sz w:val="40"/>
      <w:szCs w:val="40"/>
    </w:rPr>
  </w:style>
  <w:style w:type="character" w:styleId="784">
    <w:name w:val="Heading 2 Char"/>
    <w:basedOn w:val="954"/>
    <w:link w:val="946"/>
    <w:uiPriority w:val="9"/>
    <w:rPr>
      <w:rFonts w:ascii="Arial" w:hAnsi="Arial" w:eastAsia="Arial" w:cs="Arial"/>
      <w:sz w:val="34"/>
    </w:rPr>
  </w:style>
  <w:style w:type="character" w:styleId="785">
    <w:name w:val="Heading 3 Char"/>
    <w:basedOn w:val="954"/>
    <w:link w:val="947"/>
    <w:uiPriority w:val="9"/>
    <w:rPr>
      <w:rFonts w:ascii="Arial" w:hAnsi="Arial" w:eastAsia="Arial" w:cs="Arial"/>
      <w:sz w:val="30"/>
      <w:szCs w:val="30"/>
    </w:rPr>
  </w:style>
  <w:style w:type="character" w:styleId="786">
    <w:name w:val="Heading 4 Char"/>
    <w:basedOn w:val="954"/>
    <w:link w:val="948"/>
    <w:uiPriority w:val="9"/>
    <w:rPr>
      <w:rFonts w:ascii="Arial" w:hAnsi="Arial" w:eastAsia="Arial" w:cs="Arial"/>
      <w:b/>
      <w:bCs/>
      <w:sz w:val="26"/>
      <w:szCs w:val="26"/>
    </w:rPr>
  </w:style>
  <w:style w:type="character" w:styleId="787">
    <w:name w:val="Heading 5 Char"/>
    <w:basedOn w:val="954"/>
    <w:link w:val="949"/>
    <w:uiPriority w:val="9"/>
    <w:rPr>
      <w:rFonts w:ascii="Arial" w:hAnsi="Arial" w:eastAsia="Arial" w:cs="Arial"/>
      <w:b/>
      <w:bCs/>
      <w:sz w:val="24"/>
      <w:szCs w:val="24"/>
    </w:rPr>
  </w:style>
  <w:style w:type="character" w:styleId="788">
    <w:name w:val="Heading 6 Char"/>
    <w:basedOn w:val="954"/>
    <w:link w:val="950"/>
    <w:uiPriority w:val="9"/>
    <w:rPr>
      <w:rFonts w:ascii="Arial" w:hAnsi="Arial" w:eastAsia="Arial" w:cs="Arial"/>
      <w:b/>
      <w:bCs/>
      <w:sz w:val="22"/>
      <w:szCs w:val="22"/>
    </w:rPr>
  </w:style>
  <w:style w:type="character" w:styleId="789">
    <w:name w:val="Heading 7 Char"/>
    <w:basedOn w:val="954"/>
    <w:link w:val="951"/>
    <w:uiPriority w:val="9"/>
    <w:rPr>
      <w:rFonts w:ascii="Arial" w:hAnsi="Arial" w:eastAsia="Arial" w:cs="Arial"/>
      <w:b/>
      <w:bCs/>
      <w:i/>
      <w:iCs/>
      <w:sz w:val="22"/>
      <w:szCs w:val="22"/>
    </w:rPr>
  </w:style>
  <w:style w:type="character" w:styleId="790">
    <w:name w:val="Heading 8 Char"/>
    <w:basedOn w:val="954"/>
    <w:link w:val="952"/>
    <w:uiPriority w:val="9"/>
    <w:rPr>
      <w:rFonts w:ascii="Arial" w:hAnsi="Arial" w:eastAsia="Arial" w:cs="Arial"/>
      <w:i/>
      <w:iCs/>
      <w:sz w:val="22"/>
      <w:szCs w:val="22"/>
    </w:rPr>
  </w:style>
  <w:style w:type="character" w:styleId="791">
    <w:name w:val="Heading 9 Char"/>
    <w:basedOn w:val="954"/>
    <w:link w:val="953"/>
    <w:uiPriority w:val="9"/>
    <w:rPr>
      <w:rFonts w:ascii="Arial" w:hAnsi="Arial" w:eastAsia="Arial" w:cs="Arial"/>
      <w:i/>
      <w:iCs/>
      <w:sz w:val="21"/>
      <w:szCs w:val="21"/>
    </w:rPr>
  </w:style>
  <w:style w:type="paragraph" w:styleId="792">
    <w:name w:val="No Spacing"/>
    <w:uiPriority w:val="1"/>
    <w:qFormat/>
    <w:pPr>
      <w:spacing w:before="0" w:after="0" w:line="240" w:lineRule="auto"/>
    </w:pPr>
  </w:style>
  <w:style w:type="character" w:styleId="793">
    <w:name w:val="Title Char"/>
    <w:basedOn w:val="954"/>
    <w:link w:val="982"/>
    <w:uiPriority w:val="10"/>
    <w:rPr>
      <w:sz w:val="48"/>
      <w:szCs w:val="48"/>
    </w:rPr>
  </w:style>
  <w:style w:type="paragraph" w:styleId="794">
    <w:name w:val="Subtitle"/>
    <w:basedOn w:val="944"/>
    <w:next w:val="944"/>
    <w:link w:val="795"/>
    <w:uiPriority w:val="11"/>
    <w:qFormat/>
    <w:pPr>
      <w:spacing w:before="200" w:after="200"/>
    </w:pPr>
    <w:rPr>
      <w:sz w:val="24"/>
      <w:szCs w:val="24"/>
    </w:rPr>
  </w:style>
  <w:style w:type="character" w:styleId="795">
    <w:name w:val="Subtitle Char"/>
    <w:basedOn w:val="954"/>
    <w:link w:val="794"/>
    <w:uiPriority w:val="11"/>
    <w:rPr>
      <w:sz w:val="24"/>
      <w:szCs w:val="24"/>
    </w:rPr>
  </w:style>
  <w:style w:type="paragraph" w:styleId="796">
    <w:name w:val="Quote"/>
    <w:basedOn w:val="944"/>
    <w:next w:val="944"/>
    <w:link w:val="797"/>
    <w:uiPriority w:val="29"/>
    <w:qFormat/>
    <w:pPr>
      <w:ind w:left="720" w:right="720"/>
    </w:pPr>
    <w:rPr>
      <w:i/>
    </w:rPr>
  </w:style>
  <w:style w:type="character" w:styleId="797">
    <w:name w:val="Quote Char"/>
    <w:link w:val="796"/>
    <w:uiPriority w:val="29"/>
    <w:rPr>
      <w:i/>
    </w:rPr>
  </w:style>
  <w:style w:type="paragraph" w:styleId="798">
    <w:name w:val="Intense Quote"/>
    <w:basedOn w:val="944"/>
    <w:next w:val="944"/>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54"/>
    <w:link w:val="975"/>
    <w:uiPriority w:val="99"/>
  </w:style>
  <w:style w:type="character" w:styleId="801">
    <w:name w:val="Footer Char"/>
    <w:basedOn w:val="954"/>
    <w:link w:val="973"/>
    <w:uiPriority w:val="99"/>
  </w:style>
  <w:style w:type="paragraph" w:styleId="802">
    <w:name w:val="Caption"/>
    <w:basedOn w:val="944"/>
    <w:next w:val="944"/>
    <w:uiPriority w:val="35"/>
    <w:semiHidden/>
    <w:unhideWhenUsed/>
    <w:qFormat/>
    <w:pPr>
      <w:spacing w:line="276" w:lineRule="auto"/>
    </w:pPr>
    <w:rPr>
      <w:b/>
      <w:bCs/>
      <w:color w:val="4f81bd" w:themeColor="accent1"/>
      <w:sz w:val="18"/>
      <w:szCs w:val="18"/>
    </w:rPr>
  </w:style>
  <w:style w:type="character" w:styleId="803">
    <w:name w:val="Caption Char"/>
    <w:basedOn w:val="802"/>
    <w:link w:val="973"/>
    <w:uiPriority w:val="99"/>
  </w:style>
  <w:style w:type="table" w:styleId="804">
    <w:name w:val="Table Grid Light"/>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0">
    <w:name w:val="Grid Table 5 Dark - Accent 2"/>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1">
    <w:name w:val="Grid Table 5 Dark - Accent 3"/>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2">
    <w:name w:val="Grid Table 5 Dark- Accent 4"/>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3">
    <w:name w:val="Grid Table 5 Dark - Accent 5"/>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4">
    <w:name w:val="Grid Table 5 Dark - Accent 6"/>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5">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2">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5">
    <w:name w:val="List Table 3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6">
    <w:name w:val="List Table 3 - Accent 3"/>
    <w:basedOn w:val="9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7">
    <w:name w:val="List Table 3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8">
    <w:name w:val="List Table 3 - Accent 5"/>
    <w:basedOn w:val="9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9">
    <w:name w:val="List Table 3 - Accent 6"/>
    <w:basedOn w:val="9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0">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2">
    <w:name w:val="List Table 4 - Accent 2"/>
    <w:basedOn w:val="9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3">
    <w:name w:val="List Table 4 - Accent 3"/>
    <w:basedOn w:val="9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4">
    <w:name w:val="List Table 4 - Accent 4"/>
    <w:basedOn w:val="9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5">
    <w:name w:val="List Table 4 - Accent 5"/>
    <w:basedOn w:val="9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6">
    <w:name w:val="List Table 4 - Accent 6"/>
    <w:basedOn w:val="9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7">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6">
    <w:name w:val="List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7">
    <w:name w:val="List Table 6 Colorful - Accent 3"/>
    <w:basedOn w:val="9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8">
    <w:name w:val="List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9">
    <w:name w:val="List Table 6 Colorful - Accent 5"/>
    <w:basedOn w:val="9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0">
    <w:name w:val="List Table 6 Colorful - Accent 6"/>
    <w:basedOn w:val="9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1">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3">
    <w:name w:val="List Table 7 Colorful - Accent 2"/>
    <w:basedOn w:val="9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4">
    <w:name w:val="List Table 7 Colorful - Accent 3"/>
    <w:basedOn w:val="9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5">
    <w:name w:val="List Table 7 Colorful - Accent 4"/>
    <w:basedOn w:val="9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6">
    <w:name w:val="List Table 7 Colorful - Accent 5"/>
    <w:basedOn w:val="9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7">
    <w:name w:val="List Table 7 Colorful - Accent 6"/>
    <w:basedOn w:val="9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8">
    <w:name w:val="Lined - Accent"/>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0">
    <w:name w:val="Lined - Accent 2"/>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1">
    <w:name w:val="Lined - Accent 3"/>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2">
    <w:name w:val="Lined - Accent 4"/>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3">
    <w:name w:val="Lined - Accent 5"/>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4">
    <w:name w:val="Lined - Accent 6"/>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5">
    <w:name w:val="Bordered &amp; Lined - Accent"/>
    <w:basedOn w:val="9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7">
    <w:name w:val="Bordered &amp; Lined - Accent 2"/>
    <w:basedOn w:val="9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Bordered &amp; Lined - Accent 3"/>
    <w:basedOn w:val="9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Bordered &amp; Lined - Accent 4"/>
    <w:basedOn w:val="9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Bordered &amp; Lined - Accent 5"/>
    <w:basedOn w:val="9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1">
    <w:name w:val="Bordered &amp; Lined - Accent 6"/>
    <w:basedOn w:val="9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w:basedOn w:val="9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9">
    <w:name w:val="footnote text"/>
    <w:basedOn w:val="944"/>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basedOn w:val="954"/>
    <w:uiPriority w:val="99"/>
    <w:unhideWhenUsed/>
    <w:rPr>
      <w:vertAlign w:val="superscript"/>
    </w:rPr>
  </w:style>
  <w:style w:type="paragraph" w:styleId="932">
    <w:name w:val="endnote text"/>
    <w:basedOn w:val="944"/>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54"/>
    <w:uiPriority w:val="99"/>
    <w:semiHidden/>
    <w:unhideWhenUsed/>
    <w:rPr>
      <w:vertAlign w:val="superscript"/>
    </w:rPr>
  </w:style>
  <w:style w:type="paragraph" w:styleId="935">
    <w:name w:val="toc 2"/>
    <w:basedOn w:val="944"/>
    <w:next w:val="944"/>
    <w:uiPriority w:val="39"/>
    <w:unhideWhenUsed/>
    <w:pPr>
      <w:ind w:left="283" w:right="0" w:firstLine="0"/>
      <w:spacing w:after="57"/>
    </w:pPr>
  </w:style>
  <w:style w:type="paragraph" w:styleId="936">
    <w:name w:val="toc 3"/>
    <w:basedOn w:val="944"/>
    <w:next w:val="944"/>
    <w:uiPriority w:val="39"/>
    <w:unhideWhenUsed/>
    <w:pPr>
      <w:ind w:left="567" w:right="0" w:firstLine="0"/>
      <w:spacing w:after="57"/>
    </w:pPr>
  </w:style>
  <w:style w:type="paragraph" w:styleId="937">
    <w:name w:val="toc 4"/>
    <w:basedOn w:val="944"/>
    <w:next w:val="944"/>
    <w:uiPriority w:val="39"/>
    <w:unhideWhenUsed/>
    <w:pPr>
      <w:ind w:left="850" w:right="0" w:firstLine="0"/>
      <w:spacing w:after="57"/>
    </w:pPr>
  </w:style>
  <w:style w:type="paragraph" w:styleId="938">
    <w:name w:val="toc 5"/>
    <w:basedOn w:val="944"/>
    <w:next w:val="944"/>
    <w:uiPriority w:val="39"/>
    <w:unhideWhenUsed/>
    <w:pPr>
      <w:ind w:left="1134" w:right="0" w:firstLine="0"/>
      <w:spacing w:after="57"/>
    </w:pPr>
  </w:style>
  <w:style w:type="paragraph" w:styleId="939">
    <w:name w:val="toc 6"/>
    <w:basedOn w:val="944"/>
    <w:next w:val="944"/>
    <w:uiPriority w:val="39"/>
    <w:unhideWhenUsed/>
    <w:pPr>
      <w:ind w:left="1417"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6"/>
    <w:uiPriority w:val="0"/>
    <w:qFormat/>
    <w:pPr>
      <w:jc w:val="both"/>
      <w:widowControl w:val="off"/>
    </w:pPr>
    <w:rPr>
      <w:rFonts w:ascii="Times New Roman" w:hAnsi="Times New Roman" w:eastAsia="宋体" w:cs="Times New Roman"/>
      <w:sz w:val="21"/>
      <w:szCs w:val="24"/>
      <w:lang w:val="en-US" w:eastAsia="zh-CN" w:bidi="ar-SA"/>
    </w:rPr>
  </w:style>
  <w:style w:type="paragraph" w:styleId="945">
    <w:name w:val="Heading 1"/>
    <w:basedOn w:val="944"/>
    <w:next w:val="944"/>
    <w:link w:val="1002"/>
    <w:uiPriority w:val="0"/>
    <w:qFormat/>
    <w:pPr>
      <w:keepLines/>
      <w:keepNext/>
      <w:spacing w:before="340" w:after="330" w:line="578" w:lineRule="auto"/>
      <w:outlineLvl w:val="0"/>
    </w:pPr>
    <w:rPr>
      <w:b/>
      <w:bCs/>
      <w:sz w:val="44"/>
      <w:szCs w:val="44"/>
    </w:rPr>
  </w:style>
  <w:style w:type="paragraph" w:styleId="946">
    <w:name w:val="Heading 2"/>
    <w:basedOn w:val="944"/>
    <w:next w:val="944"/>
    <w:link w:val="1008"/>
    <w:uiPriority w:val="0"/>
    <w:qFormat/>
    <w:pPr>
      <w:keepLines/>
      <w:keepNext/>
      <w:spacing w:before="260" w:after="260" w:line="416" w:lineRule="auto"/>
      <w:outlineLvl w:val="1"/>
    </w:pPr>
    <w:rPr>
      <w:rFonts w:ascii="Arial" w:hAnsi="Arial" w:eastAsia="黑体"/>
      <w:b/>
      <w:bCs/>
      <w:sz w:val="32"/>
      <w:szCs w:val="32"/>
    </w:rPr>
  </w:style>
  <w:style w:type="paragraph" w:styleId="947">
    <w:name w:val="Heading 3"/>
    <w:basedOn w:val="944"/>
    <w:next w:val="944"/>
    <w:link w:val="1018"/>
    <w:uiPriority w:val="0"/>
    <w:qFormat/>
    <w:pPr>
      <w:keepLines/>
      <w:keepNext/>
      <w:spacing w:before="260" w:after="260" w:line="416" w:lineRule="auto"/>
      <w:outlineLvl w:val="2"/>
    </w:pPr>
    <w:rPr>
      <w:b/>
      <w:bCs/>
      <w:sz w:val="32"/>
      <w:szCs w:val="32"/>
    </w:rPr>
  </w:style>
  <w:style w:type="paragraph" w:styleId="948">
    <w:name w:val="Heading 4"/>
    <w:basedOn w:val="944"/>
    <w:next w:val="944"/>
    <w:link w:val="1020"/>
    <w:uiPriority w:val="0"/>
    <w:qFormat/>
    <w:pPr>
      <w:keepLines/>
      <w:keepNext/>
      <w:spacing w:before="280" w:after="290" w:line="376" w:lineRule="auto"/>
      <w:outlineLvl w:val="3"/>
    </w:pPr>
    <w:rPr>
      <w:rFonts w:ascii="Cambria" w:hAnsi="Cambria"/>
      <w:b/>
      <w:bCs/>
      <w:sz w:val="28"/>
      <w:szCs w:val="28"/>
    </w:rPr>
  </w:style>
  <w:style w:type="paragraph" w:styleId="949">
    <w:name w:val="Heading 5"/>
    <w:basedOn w:val="944"/>
    <w:next w:val="944"/>
    <w:link w:val="1030"/>
    <w:uiPriority w:val="0"/>
    <w:qFormat/>
    <w:pPr>
      <w:keepLines/>
      <w:keepNext/>
      <w:spacing w:before="280" w:after="290" w:line="376" w:lineRule="auto"/>
      <w:outlineLvl w:val="4"/>
    </w:pPr>
    <w:rPr>
      <w:rFonts w:ascii="Calibri" w:hAnsi="Calibri"/>
      <w:b/>
      <w:bCs/>
      <w:sz w:val="28"/>
      <w:szCs w:val="28"/>
    </w:rPr>
  </w:style>
  <w:style w:type="paragraph" w:styleId="950">
    <w:name w:val="Heading 6"/>
    <w:basedOn w:val="944"/>
    <w:next w:val="958"/>
    <w:link w:val="1012"/>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951">
    <w:name w:val="Heading 7"/>
    <w:basedOn w:val="944"/>
    <w:next w:val="958"/>
    <w:link w:val="1027"/>
    <w:uiPriority w:val="0"/>
    <w:qFormat/>
    <w:pPr>
      <w:ind w:left="1296" w:hanging="1296"/>
      <w:keepLines/>
      <w:keepNext/>
      <w:spacing w:before="240" w:after="64" w:line="320" w:lineRule="auto"/>
      <w:tabs>
        <w:tab w:val="left" w:pos="1296" w:leader="none"/>
      </w:tabs>
      <w:outlineLvl w:val="6"/>
    </w:pPr>
    <w:rPr>
      <w:b/>
      <w:sz w:val="24"/>
      <w:szCs w:val="20"/>
    </w:rPr>
  </w:style>
  <w:style w:type="paragraph" w:styleId="952">
    <w:name w:val="Heading 8"/>
    <w:basedOn w:val="944"/>
    <w:next w:val="958"/>
    <w:link w:val="1031"/>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953">
    <w:name w:val="Heading 9"/>
    <w:basedOn w:val="944"/>
    <w:next w:val="958"/>
    <w:link w:val="1017"/>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54" w:default="1">
    <w:name w:val="Default Paragraph Font"/>
    <w:uiPriority w:val="1"/>
    <w:semiHidden/>
    <w:unhideWhenUsed/>
    <w:qFormat/>
  </w:style>
  <w:style w:type="table" w:styleId="955" w:default="1">
    <w:name w:val="Normal Table"/>
    <w:uiPriority w:val="99"/>
    <w:semiHidden/>
    <w:unhideWhenUsed/>
    <w:qFormat/>
    <w:tblPr>
      <w:tblLayout w:type="fixed"/>
      <w:tblCellMar>
        <w:left w:w="108" w:type="dxa"/>
        <w:top w:w="0" w:type="dxa"/>
        <w:right w:w="108" w:type="dxa"/>
        <w:bottom w:w="0" w:type="dxa"/>
      </w:tblCellMar>
    </w:tblPr>
  </w:style>
  <w:style w:type="paragraph" w:styleId="956">
    <w:name w:val="Body Text First Indent 2"/>
    <w:basedOn w:val="957"/>
    <w:next w:val="958"/>
    <w:uiPriority w:val="99"/>
    <w:unhideWhenUsed/>
    <w:qFormat/>
    <w:pPr>
      <w:ind w:left="420" w:firstLine="420"/>
      <w:jc w:val="both"/>
      <w:spacing w:after="120"/>
    </w:pPr>
    <w:rPr>
      <w:sz w:val="21"/>
    </w:rPr>
  </w:style>
  <w:style w:type="paragraph" w:styleId="957">
    <w:name w:val="Body Text Indent"/>
    <w:basedOn w:val="944"/>
    <w:next w:val="944"/>
    <w:link w:val="1026"/>
    <w:uiPriority w:val="0"/>
    <w:qFormat/>
    <w:pPr>
      <w:ind w:firstLine="560"/>
      <w:jc w:val="left"/>
      <w:spacing w:line="300" w:lineRule="auto"/>
    </w:pPr>
    <w:rPr>
      <w:sz w:val="28"/>
    </w:rPr>
  </w:style>
  <w:style w:type="paragraph" w:styleId="958">
    <w:name w:val="Normal Indent"/>
    <w:basedOn w:val="944"/>
    <w:next w:val="944"/>
    <w:link w:val="1024"/>
    <w:uiPriority w:val="0"/>
    <w:qFormat/>
    <w:pPr>
      <w:ind w:firstLine="420"/>
      <w:jc w:val="left"/>
    </w:pPr>
    <w:rPr>
      <w:rFonts w:eastAsia="楷体_GB2312"/>
      <w:sz w:val="24"/>
      <w:szCs w:val="20"/>
    </w:rPr>
  </w:style>
  <w:style w:type="paragraph" w:styleId="959">
    <w:name w:val="List 3"/>
    <w:basedOn w:val="944"/>
    <w:uiPriority w:val="0"/>
    <w:qFormat/>
    <w:pPr>
      <w:ind w:left="100" w:hanging="200"/>
      <w:spacing w:line="360" w:lineRule="auto"/>
    </w:pPr>
    <w:rPr>
      <w:sz w:val="24"/>
    </w:rPr>
  </w:style>
  <w:style w:type="paragraph" w:styleId="960">
    <w:name w:val="annotation subject"/>
    <w:basedOn w:val="961"/>
    <w:next w:val="961"/>
    <w:link w:val="1032"/>
    <w:uiPriority w:val="0"/>
    <w:semiHidden/>
    <w:qFormat/>
    <w:rPr>
      <w:b/>
      <w:bCs/>
    </w:rPr>
  </w:style>
  <w:style w:type="paragraph" w:styleId="961">
    <w:name w:val="annotation text"/>
    <w:basedOn w:val="944"/>
    <w:link w:val="1033"/>
    <w:uiPriority w:val="0"/>
    <w:qFormat/>
    <w:pPr>
      <w:jc w:val="left"/>
    </w:pPr>
  </w:style>
  <w:style w:type="paragraph" w:styleId="962">
    <w:name w:val="toc 7"/>
    <w:basedOn w:val="945"/>
    <w:next w:val="944"/>
    <w:uiPriority w:val="39"/>
    <w:unhideWhenUsed/>
    <w:qFormat/>
    <w:pPr>
      <w:ind w:left="1701"/>
      <w:spacing w:after="57"/>
    </w:pPr>
  </w:style>
  <w:style w:type="paragraph" w:styleId="963">
    <w:name w:val="Body Text First Indent"/>
    <w:basedOn w:val="964"/>
    <w:next w:val="944"/>
    <w:link w:val="1003"/>
    <w:uiPriority w:val="0"/>
    <w:qFormat/>
    <w:pPr>
      <w:ind w:firstLine="420"/>
      <w:spacing w:after="120" w:line="400" w:lineRule="exact"/>
      <w:tabs>
        <w:tab w:val="left" w:pos="5250" w:leader="none"/>
      </w:tabs>
    </w:pPr>
    <w:rPr>
      <w:sz w:val="21"/>
    </w:rPr>
  </w:style>
  <w:style w:type="paragraph" w:styleId="964">
    <w:name w:val="Body Text"/>
    <w:basedOn w:val="944"/>
    <w:next w:val="958"/>
    <w:link w:val="993"/>
    <w:uiPriority w:val="0"/>
    <w:qFormat/>
    <w:pPr>
      <w:tabs>
        <w:tab w:val="left" w:pos="5250" w:leader="none"/>
      </w:tabs>
    </w:pPr>
    <w:rPr>
      <w:sz w:val="28"/>
    </w:rPr>
  </w:style>
  <w:style w:type="paragraph" w:styleId="965">
    <w:name w:val="Document Map"/>
    <w:basedOn w:val="944"/>
    <w:link w:val="997"/>
    <w:uiPriority w:val="0"/>
    <w:semiHidden/>
    <w:qFormat/>
    <w:pPr>
      <w:shd w:val="clear" w:color="auto" w:fill="000080"/>
    </w:pPr>
  </w:style>
  <w:style w:type="paragraph" w:styleId="966">
    <w:name w:val="Body Text 3"/>
    <w:basedOn w:val="944"/>
    <w:link w:val="994"/>
    <w:uiPriority w:val="0"/>
    <w:qFormat/>
    <w:pPr>
      <w:spacing w:line="500" w:lineRule="exact"/>
    </w:pPr>
    <w:rPr>
      <w:rFonts w:ascii="宋体" w:hAnsi="宋体"/>
    </w:rPr>
  </w:style>
  <w:style w:type="paragraph" w:styleId="967">
    <w:name w:val="List 2"/>
    <w:basedOn w:val="945"/>
    <w:next w:val="962"/>
    <w:uiPriority w:val="0"/>
    <w:qFormat/>
    <w:pPr>
      <w:ind w:left="100" w:hanging="200"/>
      <w:spacing w:line="360" w:lineRule="auto"/>
    </w:pPr>
    <w:rPr>
      <w:sz w:val="24"/>
    </w:rPr>
  </w:style>
  <w:style w:type="paragraph" w:styleId="968">
    <w:name w:val="Block Text"/>
    <w:basedOn w:val="944"/>
    <w:uiPriority w:val="0"/>
    <w:qFormat/>
    <w:pPr>
      <w:ind w:left="630" w:right="-609" w:firstLine="420"/>
      <w:spacing w:line="360" w:lineRule="auto"/>
    </w:pPr>
    <w:rPr>
      <w:rFonts w:hint="eastAsia" w:ascii="仿宋_GB2312" w:eastAsia="仿宋_GB2312"/>
      <w:szCs w:val="20"/>
    </w:rPr>
  </w:style>
  <w:style w:type="paragraph" w:styleId="969">
    <w:name w:val="Plain Text"/>
    <w:basedOn w:val="944"/>
    <w:link w:val="1034"/>
    <w:uiPriority w:val="0"/>
    <w:qFormat/>
    <w:rPr>
      <w:rFonts w:ascii="宋体" w:hAnsi="Courier New" w:eastAsia="楷体_GB2312"/>
      <w:sz w:val="28"/>
      <w:szCs w:val="20"/>
    </w:rPr>
  </w:style>
  <w:style w:type="paragraph" w:styleId="970">
    <w:name w:val="Date"/>
    <w:basedOn w:val="944"/>
    <w:next w:val="944"/>
    <w:link w:val="991"/>
    <w:uiPriority w:val="0"/>
    <w:qFormat/>
    <w:rPr>
      <w:szCs w:val="20"/>
    </w:rPr>
  </w:style>
  <w:style w:type="paragraph" w:styleId="971">
    <w:name w:val="Body Text Indent 2"/>
    <w:basedOn w:val="944"/>
    <w:link w:val="1019"/>
    <w:uiPriority w:val="0"/>
    <w:qFormat/>
    <w:pPr>
      <w:ind w:left="840"/>
      <w:spacing w:line="360" w:lineRule="auto"/>
      <w:tabs>
        <w:tab w:val="left" w:pos="630" w:leader="none"/>
      </w:tabs>
    </w:pPr>
    <w:rPr>
      <w:rFonts w:ascii="宋体" w:hAnsi="宋体"/>
    </w:rPr>
  </w:style>
  <w:style w:type="paragraph" w:styleId="972">
    <w:name w:val="Balloon Text"/>
    <w:basedOn w:val="944"/>
    <w:link w:val="1014"/>
    <w:uiPriority w:val="0"/>
    <w:semiHidden/>
    <w:qFormat/>
    <w:rPr>
      <w:sz w:val="18"/>
      <w:szCs w:val="18"/>
    </w:rPr>
  </w:style>
  <w:style w:type="paragraph" w:styleId="973">
    <w:name w:val="Footer"/>
    <w:basedOn w:val="944"/>
    <w:link w:val="1023"/>
    <w:uiPriority w:val="99"/>
    <w:qFormat/>
    <w:pPr>
      <w:jc w:val="left"/>
      <w:tabs>
        <w:tab w:val="center" w:pos="4153" w:leader="none"/>
        <w:tab w:val="right" w:pos="8306" w:leader="none"/>
      </w:tabs>
    </w:pPr>
    <w:rPr>
      <w:sz w:val="18"/>
      <w:szCs w:val="18"/>
    </w:rPr>
  </w:style>
  <w:style w:type="paragraph" w:styleId="974">
    <w:name w:val="envelope return"/>
    <w:basedOn w:val="944"/>
    <w:uiPriority w:val="0"/>
    <w:qFormat/>
    <w:rPr>
      <w:rFonts w:ascii="Arial" w:hAnsi="Arial" w:cs="Arial"/>
    </w:rPr>
  </w:style>
  <w:style w:type="paragraph" w:styleId="975">
    <w:name w:val="Header"/>
    <w:basedOn w:val="944"/>
    <w:link w:val="1011"/>
    <w:uiPriority w:val="99"/>
    <w:qFormat/>
    <w:pPr>
      <w:jc w:val="center"/>
      <w:tabs>
        <w:tab w:val="center" w:pos="4153" w:leader="none"/>
        <w:tab w:val="right" w:pos="8306" w:leader="none"/>
      </w:tabs>
      <w:pBdr>
        <w:bottom w:val="single" w:color="auto" w:sz="6" w:space="1"/>
      </w:pBdr>
    </w:pPr>
    <w:rPr>
      <w:sz w:val="18"/>
      <w:szCs w:val="18"/>
    </w:rPr>
  </w:style>
  <w:style w:type="paragraph" w:styleId="976">
    <w:name w:val="toc 1"/>
    <w:basedOn w:val="944"/>
    <w:next w:val="944"/>
    <w:uiPriority w:val="0"/>
    <w:qFormat/>
    <w:pPr>
      <w:jc w:val="left"/>
      <w:spacing w:line="400" w:lineRule="exact"/>
    </w:pPr>
    <w:rPr>
      <w:rFonts w:eastAsia="楷体_GB2312"/>
      <w:sz w:val="24"/>
      <w:szCs w:val="20"/>
    </w:rPr>
  </w:style>
  <w:style w:type="paragraph" w:styleId="977">
    <w:name w:val="List"/>
    <w:basedOn w:val="944"/>
    <w:uiPriority w:val="0"/>
    <w:qFormat/>
    <w:pPr>
      <w:ind w:left="200" w:hanging="200"/>
      <w:spacing w:line="360" w:lineRule="auto"/>
    </w:pPr>
    <w:rPr>
      <w:sz w:val="24"/>
    </w:rPr>
  </w:style>
  <w:style w:type="paragraph" w:styleId="978">
    <w:name w:val="Body Text Indent 3"/>
    <w:basedOn w:val="944"/>
    <w:link w:val="992"/>
    <w:uiPriority w:val="0"/>
    <w:qFormat/>
    <w:pPr>
      <w:ind w:firstLine="480"/>
      <w:spacing w:line="360" w:lineRule="auto"/>
      <w:widowControl/>
    </w:pPr>
    <w:rPr>
      <w:sz w:val="24"/>
    </w:rPr>
  </w:style>
  <w:style w:type="paragraph" w:styleId="979">
    <w:name w:val="Body Text 2"/>
    <w:basedOn w:val="944"/>
    <w:link w:val="1001"/>
    <w:uiPriority w:val="0"/>
    <w:qFormat/>
    <w:pPr>
      <w:spacing w:after="120" w:line="480" w:lineRule="auto"/>
    </w:pPr>
  </w:style>
  <w:style w:type="paragraph" w:styleId="980">
    <w:name w:val="List Continue 2"/>
    <w:basedOn w:val="944"/>
    <w:uiPriority w:val="0"/>
    <w:qFormat/>
    <w:pPr>
      <w:ind w:left="840"/>
      <w:spacing w:after="120" w:line="360" w:lineRule="auto"/>
    </w:pPr>
    <w:rPr>
      <w:sz w:val="24"/>
    </w:rPr>
  </w:style>
  <w:style w:type="paragraph" w:styleId="981">
    <w:name w:val="Normal (Web)"/>
    <w:basedOn w:val="944"/>
    <w:next w:val="967"/>
    <w:uiPriority w:val="0"/>
    <w:qFormat/>
    <w:pPr>
      <w:jc w:val="left"/>
      <w:spacing w:before="100" w:beforeAutospacing="1" w:after="100" w:afterAutospacing="1"/>
      <w:widowControl/>
    </w:pPr>
    <w:rPr>
      <w:rFonts w:ascii="Arial Unicode MS" w:hAnsi="Arial Unicode MS" w:eastAsia="Times New Roman"/>
      <w:sz w:val="24"/>
    </w:rPr>
  </w:style>
  <w:style w:type="paragraph" w:styleId="982">
    <w:name w:val="Title"/>
    <w:basedOn w:val="944"/>
    <w:link w:val="1000"/>
    <w:uiPriority w:val="0"/>
    <w:qFormat/>
    <w:pPr>
      <w:jc w:val="left"/>
      <w:spacing w:before="240" w:after="60" w:line="360" w:lineRule="auto"/>
      <w:outlineLvl w:val="0"/>
    </w:pPr>
    <w:rPr>
      <w:rFonts w:ascii="Arial" w:hAnsi="Arial"/>
      <w:b/>
      <w:bCs/>
      <w:sz w:val="28"/>
      <w:szCs w:val="32"/>
    </w:rPr>
  </w:style>
  <w:style w:type="character" w:styleId="983">
    <w:name w:val="Strong"/>
    <w:uiPriority w:val="0"/>
    <w:qFormat/>
    <w:rPr>
      <w:b/>
      <w:bCs/>
    </w:rPr>
  </w:style>
  <w:style w:type="character" w:styleId="984">
    <w:name w:val="page number"/>
    <w:uiPriority w:val="0"/>
    <w:qFormat/>
  </w:style>
  <w:style w:type="character" w:styleId="985">
    <w:name w:val="FollowedHyperlink"/>
    <w:uiPriority w:val="0"/>
    <w:qFormat/>
    <w:rPr>
      <w:color w:val="800080"/>
      <w:u w:val="single"/>
    </w:rPr>
  </w:style>
  <w:style w:type="character" w:styleId="986">
    <w:name w:val="Emphasis"/>
    <w:uiPriority w:val="20"/>
    <w:qFormat/>
    <w:rPr>
      <w:color w:val="cc0000"/>
    </w:rPr>
  </w:style>
  <w:style w:type="character" w:styleId="987">
    <w:name w:val="Hyperlink"/>
    <w:uiPriority w:val="0"/>
    <w:qFormat/>
    <w:rPr>
      <w:color w:val="0000ff"/>
      <w:u w:val="single"/>
    </w:rPr>
  </w:style>
  <w:style w:type="character" w:styleId="988">
    <w:name w:val="annotation reference"/>
    <w:uiPriority w:val="0"/>
    <w:qFormat/>
    <w:rPr>
      <w:sz w:val="21"/>
      <w:szCs w:val="21"/>
    </w:rPr>
  </w:style>
  <w:style w:type="table" w:styleId="989">
    <w:name w:val="Table Grid"/>
    <w:basedOn w:val="9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990" w:customStyle="1">
    <w:name w:val="段"/>
    <w:basedOn w:val="944"/>
    <w:next w:val="944"/>
    <w:uiPriority w:val="0"/>
    <w:qFormat/>
    <w:pPr>
      <w:ind w:firstLine="425"/>
    </w:pPr>
    <w:rPr>
      <w:rFonts w:ascii="宋体"/>
    </w:rPr>
  </w:style>
  <w:style w:type="character" w:styleId="991" w:customStyle="1">
    <w:name w:val="日期 Char"/>
    <w:link w:val="970"/>
    <w:uiPriority w:val="0"/>
    <w:qFormat/>
    <w:rPr>
      <w:sz w:val="21"/>
    </w:rPr>
  </w:style>
  <w:style w:type="character" w:styleId="992" w:customStyle="1">
    <w:name w:val="正文文本缩进 3 Char"/>
    <w:link w:val="978"/>
    <w:uiPriority w:val="0"/>
    <w:qFormat/>
    <w:rPr>
      <w:sz w:val="24"/>
      <w:szCs w:val="24"/>
    </w:rPr>
  </w:style>
  <w:style w:type="character" w:styleId="993" w:customStyle="1">
    <w:name w:val="正文文本 Char"/>
    <w:link w:val="964"/>
    <w:uiPriority w:val="0"/>
    <w:qFormat/>
    <w:rPr>
      <w:sz w:val="28"/>
      <w:szCs w:val="24"/>
    </w:rPr>
  </w:style>
  <w:style w:type="character" w:styleId="994" w:customStyle="1">
    <w:name w:val="正文文本 3 Char"/>
    <w:link w:val="966"/>
    <w:uiPriority w:val="0"/>
    <w:qFormat/>
    <w:rPr>
      <w:rFonts w:ascii="宋体" w:hAnsi="宋体"/>
      <w:sz w:val="21"/>
      <w:szCs w:val="24"/>
    </w:rPr>
  </w:style>
  <w:style w:type="character" w:styleId="995" w:customStyle="1">
    <w:name w:val="验收-表格内文字 Char"/>
    <w:link w:val="996"/>
    <w:uiPriority w:val="0"/>
    <w:qFormat/>
    <w:rPr>
      <w:sz w:val="21"/>
      <w:szCs w:val="24"/>
    </w:rPr>
  </w:style>
  <w:style w:type="paragraph" w:styleId="996" w:customStyle="1">
    <w:name w:val="验收-表格内文字"/>
    <w:basedOn w:val="944"/>
    <w:link w:val="995"/>
    <w:uiPriority w:val="0"/>
    <w:qFormat/>
    <w:pPr>
      <w:jc w:val="center"/>
      <w:spacing w:line="400" w:lineRule="exact"/>
    </w:pPr>
  </w:style>
  <w:style w:type="character" w:styleId="997" w:customStyle="1">
    <w:name w:val="文档结构图 Char"/>
    <w:link w:val="965"/>
    <w:uiPriority w:val="0"/>
    <w:semiHidden/>
    <w:qFormat/>
    <w:rPr>
      <w:sz w:val="21"/>
      <w:szCs w:val="24"/>
      <w:shd w:val="clear" w:color="auto" w:fill="000080"/>
    </w:rPr>
  </w:style>
  <w:style w:type="character" w:styleId="998" w:customStyle="1">
    <w:name w:val="标准文本 Char Char"/>
    <w:uiPriority w:val="0"/>
    <w:qFormat/>
    <w:rPr>
      <w:rFonts w:cs="宋体"/>
      <w:sz w:val="24"/>
    </w:rPr>
  </w:style>
  <w:style w:type="character" w:styleId="999" w:customStyle="1">
    <w:name w:val="para1"/>
    <w:uiPriority w:val="0"/>
    <w:qFormat/>
    <w:rPr>
      <w:rFonts w:hint="default" w:ascii="Arial" w:hAnsi="Arial" w:cs="Arial"/>
      <w:sz w:val="18"/>
      <w:szCs w:val="18"/>
    </w:rPr>
  </w:style>
  <w:style w:type="character" w:styleId="1000" w:customStyle="1">
    <w:name w:val="标题 Char"/>
    <w:link w:val="982"/>
    <w:uiPriority w:val="0"/>
    <w:qFormat/>
    <w:rPr>
      <w:rFonts w:ascii="Arial" w:hAnsi="Arial" w:cs="Arial"/>
      <w:b/>
      <w:bCs/>
      <w:sz w:val="28"/>
      <w:szCs w:val="32"/>
    </w:rPr>
  </w:style>
  <w:style w:type="character" w:styleId="1001" w:customStyle="1">
    <w:name w:val="正文文本 2 Char"/>
    <w:link w:val="979"/>
    <w:uiPriority w:val="0"/>
    <w:qFormat/>
    <w:rPr>
      <w:sz w:val="21"/>
      <w:szCs w:val="24"/>
    </w:rPr>
  </w:style>
  <w:style w:type="character" w:styleId="1002" w:customStyle="1">
    <w:name w:val="标题 1 Char"/>
    <w:link w:val="945"/>
    <w:uiPriority w:val="0"/>
    <w:qFormat/>
    <w:rPr>
      <w:b/>
      <w:bCs/>
      <w:sz w:val="44"/>
      <w:szCs w:val="44"/>
    </w:rPr>
  </w:style>
  <w:style w:type="character" w:styleId="1003" w:customStyle="1">
    <w:name w:val="正文首行缩进 Char"/>
    <w:link w:val="963"/>
    <w:uiPriority w:val="0"/>
    <w:qFormat/>
    <w:rPr>
      <w:sz w:val="21"/>
      <w:szCs w:val="24"/>
    </w:rPr>
  </w:style>
  <w:style w:type="character" w:styleId="1004" w:customStyle="1">
    <w:name w:val="lh151"/>
    <w:uiPriority w:val="0"/>
    <w:qFormat/>
    <w:rPr>
      <w:color w:val="666666"/>
    </w:rPr>
  </w:style>
  <w:style w:type="character" w:styleId="1005" w:customStyle="1">
    <w:name w:val="标题1"/>
    <w:uiPriority w:val="99"/>
    <w:qFormat/>
    <w:rPr>
      <w:rFonts w:cs="Times New Roman"/>
    </w:rPr>
  </w:style>
  <w:style w:type="character" w:styleId="1006" w:customStyle="1">
    <w:name w:val="验收-图表标题 Char"/>
    <w:link w:val="1007"/>
    <w:uiPriority w:val="0"/>
    <w:qFormat/>
    <w:rPr>
      <w:rFonts w:ascii="黑体" w:eastAsia="黑体"/>
      <w:sz w:val="21"/>
      <w:szCs w:val="21"/>
    </w:rPr>
  </w:style>
  <w:style w:type="paragraph" w:styleId="1007" w:customStyle="1">
    <w:name w:val="验收-图表标题"/>
    <w:basedOn w:val="944"/>
    <w:link w:val="1006"/>
    <w:uiPriority w:val="0"/>
    <w:qFormat/>
    <w:pPr>
      <w:jc w:val="center"/>
      <w:spacing w:line="360" w:lineRule="auto"/>
    </w:pPr>
    <w:rPr>
      <w:rFonts w:ascii="黑体" w:eastAsia="黑体"/>
      <w:szCs w:val="21"/>
    </w:rPr>
  </w:style>
  <w:style w:type="character" w:styleId="1008" w:customStyle="1">
    <w:name w:val="标题 2 Char"/>
    <w:link w:val="946"/>
    <w:uiPriority w:val="0"/>
    <w:qFormat/>
    <w:rPr>
      <w:rFonts w:ascii="Arial" w:hAnsi="Arial" w:eastAsia="黑体"/>
      <w:b/>
      <w:bCs/>
      <w:sz w:val="32"/>
      <w:szCs w:val="32"/>
    </w:rPr>
  </w:style>
  <w:style w:type="character" w:styleId="1009" w:customStyle="1">
    <w:name w:val="标准文本 Char"/>
    <w:link w:val="1010"/>
    <w:uiPriority w:val="0"/>
    <w:qFormat/>
    <w:rPr>
      <w:sz w:val="24"/>
    </w:rPr>
  </w:style>
  <w:style w:type="paragraph" w:styleId="1010" w:customStyle="1">
    <w:name w:val="标准文本"/>
    <w:basedOn w:val="944"/>
    <w:link w:val="1009"/>
    <w:uiPriority w:val="0"/>
    <w:qFormat/>
    <w:pPr>
      <w:ind w:firstLine="480"/>
      <w:spacing w:line="360" w:lineRule="auto"/>
    </w:pPr>
    <w:rPr>
      <w:sz w:val="24"/>
      <w:szCs w:val="20"/>
    </w:rPr>
  </w:style>
  <w:style w:type="character" w:styleId="1011" w:customStyle="1">
    <w:name w:val="页眉 Char"/>
    <w:link w:val="975"/>
    <w:uiPriority w:val="99"/>
    <w:qFormat/>
    <w:rPr>
      <w:sz w:val="18"/>
      <w:szCs w:val="18"/>
    </w:rPr>
  </w:style>
  <w:style w:type="character" w:styleId="1012" w:customStyle="1">
    <w:name w:val="标题 6 Char"/>
    <w:link w:val="950"/>
    <w:uiPriority w:val="0"/>
    <w:qFormat/>
    <w:rPr>
      <w:rFonts w:ascii="Arial" w:hAnsi="Arial" w:eastAsia="黑体"/>
      <w:b/>
      <w:sz w:val="24"/>
    </w:rPr>
  </w:style>
  <w:style w:type="character" w:styleId="1013" w:customStyle="1">
    <w:name w:val="纯文本 Char1"/>
    <w:uiPriority w:val="99"/>
    <w:semiHidden/>
    <w:qFormat/>
    <w:rPr>
      <w:rFonts w:ascii="宋体" w:hAnsi="Courier New" w:cs="Courier New"/>
      <w:sz w:val="21"/>
      <w:szCs w:val="21"/>
    </w:rPr>
  </w:style>
  <w:style w:type="character" w:styleId="1014" w:customStyle="1">
    <w:name w:val="批注框文本 Char"/>
    <w:link w:val="972"/>
    <w:uiPriority w:val="0"/>
    <w:semiHidden/>
    <w:qFormat/>
    <w:rPr>
      <w:sz w:val="18"/>
      <w:szCs w:val="18"/>
    </w:rPr>
  </w:style>
  <w:style w:type="character" w:styleId="1015" w:customStyle="1">
    <w:name w:val="+正文 Char3"/>
    <w:link w:val="1016"/>
    <w:uiPriority w:val="0"/>
    <w:qFormat/>
    <w:rPr>
      <w:sz w:val="28"/>
    </w:rPr>
  </w:style>
  <w:style w:type="paragraph" w:styleId="1016" w:customStyle="1">
    <w:name w:val="+正文"/>
    <w:basedOn w:val="944"/>
    <w:link w:val="1015"/>
    <w:uiPriority w:val="0"/>
    <w:qFormat/>
    <w:pPr>
      <w:ind w:firstLine="200"/>
      <w:spacing w:line="360" w:lineRule="auto"/>
    </w:pPr>
    <w:rPr>
      <w:sz w:val="28"/>
      <w:szCs w:val="20"/>
    </w:rPr>
  </w:style>
  <w:style w:type="character" w:styleId="1017" w:customStyle="1">
    <w:name w:val="标题 9 Char"/>
    <w:link w:val="953"/>
    <w:uiPriority w:val="0"/>
    <w:qFormat/>
    <w:rPr>
      <w:rFonts w:ascii="Arial" w:hAnsi="Arial" w:eastAsia="黑体"/>
      <w:sz w:val="21"/>
    </w:rPr>
  </w:style>
  <w:style w:type="character" w:styleId="1018" w:customStyle="1">
    <w:name w:val="标题 3 Char"/>
    <w:link w:val="947"/>
    <w:uiPriority w:val="0"/>
    <w:qFormat/>
    <w:rPr>
      <w:b/>
      <w:bCs/>
      <w:sz w:val="32"/>
      <w:szCs w:val="32"/>
    </w:rPr>
  </w:style>
  <w:style w:type="character" w:styleId="1019" w:customStyle="1">
    <w:name w:val="正文文本缩进 2 Char"/>
    <w:link w:val="971"/>
    <w:uiPriority w:val="0"/>
    <w:qFormat/>
    <w:rPr>
      <w:rFonts w:ascii="宋体" w:hAnsi="宋体"/>
      <w:sz w:val="21"/>
      <w:szCs w:val="24"/>
    </w:rPr>
  </w:style>
  <w:style w:type="character" w:styleId="1020" w:customStyle="1">
    <w:name w:val="标题 4 Char"/>
    <w:link w:val="948"/>
    <w:uiPriority w:val="0"/>
    <w:qFormat/>
    <w:rPr>
      <w:rFonts w:ascii="Cambria" w:hAnsi="Cambria" w:eastAsia="宋体"/>
      <w:b/>
      <w:bCs/>
      <w:sz w:val="28"/>
      <w:szCs w:val="28"/>
      <w:lang w:val="en-US" w:eastAsia="zh-CN" w:bidi="ar-SA"/>
    </w:rPr>
  </w:style>
  <w:style w:type="character" w:styleId="1021" w:customStyle="1">
    <w:name w:val="列出段落 Char"/>
    <w:link w:val="1022"/>
    <w:uiPriority w:val="34"/>
    <w:qFormat/>
    <w:rPr>
      <w:rFonts w:ascii="Calibri" w:hAnsi="Calibri"/>
      <w:sz w:val="21"/>
      <w:szCs w:val="22"/>
    </w:rPr>
  </w:style>
  <w:style w:type="paragraph" w:styleId="1022">
    <w:name w:val="List Paragraph"/>
    <w:basedOn w:val="944"/>
    <w:link w:val="1021"/>
    <w:uiPriority w:val="34"/>
    <w:qFormat/>
    <w:pPr>
      <w:ind w:firstLine="420"/>
    </w:pPr>
    <w:rPr>
      <w:rFonts w:ascii="Calibri" w:hAnsi="Calibri"/>
      <w:szCs w:val="22"/>
    </w:rPr>
  </w:style>
  <w:style w:type="character" w:styleId="1023" w:customStyle="1">
    <w:name w:val="页脚 Char"/>
    <w:link w:val="973"/>
    <w:uiPriority w:val="99"/>
    <w:qFormat/>
    <w:rPr>
      <w:sz w:val="18"/>
      <w:szCs w:val="18"/>
    </w:rPr>
  </w:style>
  <w:style w:type="character" w:styleId="1024" w:customStyle="1">
    <w:name w:val="正文缩进 Char"/>
    <w:link w:val="958"/>
    <w:uiPriority w:val="0"/>
    <w:qFormat/>
    <w:rPr>
      <w:rFonts w:eastAsia="楷体_GB2312"/>
      <w:sz w:val="24"/>
      <w:lang w:val="en-US" w:eastAsia="zh-CN" w:bidi="ar-SA"/>
    </w:rPr>
  </w:style>
  <w:style w:type="character" w:styleId="1025" w:customStyle="1">
    <w:name w:val="title_emph1"/>
    <w:uiPriority w:val="0"/>
    <w:qFormat/>
    <w:rPr>
      <w:rFonts w:hint="default" w:ascii="Arial" w:hAnsi="Arial" w:cs="Arial"/>
      <w:b/>
      <w:bCs/>
      <w:sz w:val="20"/>
      <w:szCs w:val="20"/>
    </w:rPr>
  </w:style>
  <w:style w:type="character" w:styleId="1026" w:customStyle="1">
    <w:name w:val="正文文本缩进 Char"/>
    <w:link w:val="957"/>
    <w:uiPriority w:val="0"/>
    <w:qFormat/>
    <w:rPr>
      <w:sz w:val="28"/>
      <w:szCs w:val="24"/>
    </w:rPr>
  </w:style>
  <w:style w:type="character" w:styleId="1027" w:customStyle="1">
    <w:name w:val="标题 7 Char"/>
    <w:link w:val="951"/>
    <w:uiPriority w:val="0"/>
    <w:qFormat/>
    <w:rPr>
      <w:b/>
      <w:sz w:val="24"/>
    </w:rPr>
  </w:style>
  <w:style w:type="character" w:styleId="1028" w:customStyle="1">
    <w:name w:val="Char Char8"/>
    <w:uiPriority w:val="0"/>
    <w:qFormat/>
    <w:rPr>
      <w:rFonts w:eastAsia="宋体"/>
      <w:sz w:val="24"/>
      <w:szCs w:val="24"/>
      <w:lang w:val="en-US" w:eastAsia="zh-CN" w:bidi="ar-SA"/>
    </w:rPr>
  </w:style>
  <w:style w:type="character" w:styleId="1029" w:customStyle="1">
    <w:name w:val="p141"/>
    <w:uiPriority w:val="0"/>
    <w:qFormat/>
    <w:rPr>
      <w:color w:val="000000"/>
      <w:sz w:val="28"/>
      <w:szCs w:val="28"/>
      <w:u w:val="none"/>
    </w:rPr>
  </w:style>
  <w:style w:type="character" w:styleId="1030" w:customStyle="1">
    <w:name w:val="标题 5 Char"/>
    <w:link w:val="949"/>
    <w:uiPriority w:val="0"/>
    <w:qFormat/>
    <w:rPr>
      <w:rFonts w:ascii="Calibri" w:hAnsi="Calibri" w:eastAsia="宋体"/>
      <w:b/>
      <w:bCs/>
      <w:sz w:val="28"/>
      <w:szCs w:val="28"/>
      <w:lang w:val="en-US" w:eastAsia="zh-CN" w:bidi="ar-SA"/>
    </w:rPr>
  </w:style>
  <w:style w:type="character" w:styleId="1031" w:customStyle="1">
    <w:name w:val="标题 8 Char"/>
    <w:link w:val="952"/>
    <w:uiPriority w:val="0"/>
    <w:qFormat/>
    <w:rPr>
      <w:rFonts w:ascii="Arial" w:hAnsi="Arial" w:eastAsia="黑体"/>
      <w:sz w:val="24"/>
    </w:rPr>
  </w:style>
  <w:style w:type="character" w:styleId="1032" w:customStyle="1">
    <w:name w:val="批注主题 Char"/>
    <w:link w:val="960"/>
    <w:uiPriority w:val="0"/>
    <w:semiHidden/>
    <w:qFormat/>
    <w:rPr>
      <w:b/>
      <w:bCs/>
      <w:sz w:val="21"/>
      <w:szCs w:val="24"/>
    </w:rPr>
  </w:style>
  <w:style w:type="character" w:styleId="1033" w:customStyle="1">
    <w:name w:val="批注文字 Char"/>
    <w:link w:val="961"/>
    <w:uiPriority w:val="0"/>
    <w:qFormat/>
    <w:rPr>
      <w:sz w:val="21"/>
      <w:szCs w:val="24"/>
    </w:rPr>
  </w:style>
  <w:style w:type="character" w:styleId="1034" w:customStyle="1">
    <w:name w:val="纯文本 Char"/>
    <w:link w:val="969"/>
    <w:uiPriority w:val="0"/>
    <w:qFormat/>
    <w:rPr>
      <w:rFonts w:ascii="宋体" w:hAnsi="Courier New" w:eastAsia="楷体_GB2312"/>
      <w:sz w:val="28"/>
      <w:lang w:val="en-US" w:eastAsia="zh-CN" w:bidi="ar-SA"/>
    </w:rPr>
  </w:style>
  <w:style w:type="character" w:styleId="1035" w:customStyle="1">
    <w:name w:val="Char Char"/>
    <w:uiPriority w:val="0"/>
    <w:qFormat/>
    <w:rPr>
      <w:rFonts w:eastAsia="楷体_GB2312"/>
      <w:sz w:val="24"/>
      <w:lang w:val="en-US" w:eastAsia="zh-CN" w:bidi="ar-SA"/>
    </w:rPr>
  </w:style>
  <w:style w:type="character" w:styleId="1036" w:customStyle="1">
    <w:name w:val="标题四 Char1"/>
    <w:uiPriority w:val="0"/>
    <w:qFormat/>
    <w:rPr>
      <w:rFonts w:eastAsia="楷体_GB2312"/>
      <w:sz w:val="24"/>
    </w:rPr>
  </w:style>
  <w:style w:type="paragraph" w:styleId="1037" w:customStyle="1">
    <w:name w:val="正文文本缩进 21"/>
    <w:basedOn w:val="944"/>
    <w:uiPriority w:val="0"/>
    <w:qFormat/>
    <w:pPr>
      <w:ind w:left="420"/>
      <w:spacing w:after="120" w:line="480" w:lineRule="auto"/>
    </w:pPr>
    <w:rPr>
      <w:szCs w:val="20"/>
    </w:rPr>
  </w:style>
  <w:style w:type="paragraph" w:styleId="1038" w:customStyle="1">
    <w:name w:val="首行缩进"/>
    <w:basedOn w:val="944"/>
    <w:uiPriority w:val="0"/>
    <w:qFormat/>
    <w:pPr>
      <w:ind w:firstLine="480"/>
      <w:jc w:val="left"/>
      <w:spacing w:line="360" w:lineRule="auto"/>
    </w:pPr>
    <w:rPr>
      <w:rFonts w:ascii="宋体" w:hAnsi="宋体"/>
      <w:sz w:val="24"/>
    </w:rPr>
  </w:style>
  <w:style w:type="paragraph" w:styleId="1039" w:customStyle="1">
    <w:name w:val="正文段"/>
    <w:basedOn w:val="944"/>
    <w:uiPriority w:val="0"/>
    <w:qFormat/>
    <w:pPr>
      <w:ind w:firstLine="454"/>
      <w:spacing w:after="240" w:line="240" w:lineRule="atLeast"/>
      <w:widowControl/>
    </w:pPr>
    <w:rPr>
      <w:rFonts w:ascii="宋体"/>
      <w:sz w:val="24"/>
      <w:szCs w:val="20"/>
    </w:rPr>
  </w:style>
  <w:style w:type="paragraph" w:styleId="1040" w:customStyle="1">
    <w:name w:val="默认段落字体 Para Char Char Char Char Char Char Char"/>
    <w:basedOn w:val="944"/>
    <w:uiPriority w:val="0"/>
    <w:qFormat/>
    <w:pPr>
      <w:spacing w:line="360" w:lineRule="auto"/>
    </w:pPr>
    <w:rPr>
      <w:rFonts w:ascii="Tahoma" w:hAnsi="Tahoma"/>
      <w:sz w:val="24"/>
      <w:szCs w:val="20"/>
    </w:rPr>
  </w:style>
  <w:style w:type="paragraph" w:styleId="1041" w:customStyle="1">
    <w:name w:val="杨昂超式样黑体主"/>
    <w:basedOn w:val="944"/>
    <w:uiPriority w:val="0"/>
    <w:qFormat/>
    <w:pPr>
      <w:spacing w:line="400" w:lineRule="exact"/>
    </w:pPr>
    <w:rPr>
      <w:rFonts w:ascii="方正黑体简体" w:eastAsia="方正黑体简体"/>
      <w:sz w:val="24"/>
    </w:rPr>
  </w:style>
  <w:style w:type="paragraph" w:styleId="1042" w:customStyle="1">
    <w:name w:val="Char Char1"/>
    <w:basedOn w:val="944"/>
    <w:uiPriority w:val="0"/>
    <w:qFormat/>
    <w:pPr>
      <w:jc w:val="left"/>
      <w:spacing w:after="160" w:line="240" w:lineRule="exact"/>
      <w:widowControl/>
    </w:pPr>
    <w:rPr>
      <w:rFonts w:ascii="Verdana" w:hAnsi="Verdana"/>
      <w:sz w:val="20"/>
      <w:szCs w:val="20"/>
      <w:lang w:eastAsia="en-US"/>
    </w:rPr>
  </w:style>
  <w:style w:type="paragraph" w:styleId="1043" w:customStyle="1">
    <w:name w:val="正文文本缩进1"/>
    <w:basedOn w:val="944"/>
    <w:uiPriority w:val="0"/>
    <w:qFormat/>
    <w:pPr>
      <w:ind w:firstLine="420"/>
      <w:spacing w:line="360" w:lineRule="auto"/>
    </w:pPr>
    <w:rPr>
      <w:rFonts w:ascii="宋体" w:hAnsi="宋体"/>
      <w:szCs w:val="20"/>
    </w:rPr>
  </w:style>
  <w:style w:type="paragraph" w:styleId="1044" w:customStyle="1">
    <w:name w:val="编号1"/>
    <w:basedOn w:val="944"/>
    <w:uiPriority w:val="0"/>
    <w:qFormat/>
    <w:pPr>
      <w:numPr>
        <w:ilvl w:val="0"/>
        <w:numId w:val="1"/>
      </w:numPr>
      <w:ind w:right="210"/>
      <w:spacing w:line="400" w:lineRule="exact"/>
    </w:pPr>
    <w:rPr>
      <w:rFonts w:ascii="宋体" w:hAnsi="宋体"/>
      <w:spacing w:val="10"/>
    </w:rPr>
  </w:style>
  <w:style w:type="paragraph" w:styleId="1045" w:customStyle="1">
    <w:name w:val="reader-word-layer"/>
    <w:basedOn w:val="944"/>
    <w:uiPriority w:val="0"/>
    <w:qFormat/>
    <w:pPr>
      <w:jc w:val="left"/>
      <w:spacing w:line="2212" w:lineRule="atLeast"/>
      <w:shd w:val="clear" w:color="auto" w:fill="ffffff"/>
      <w:widowControl/>
    </w:pPr>
    <w:rPr>
      <w:rFonts w:ascii="宋体" w:hAnsi="宋体" w:cs="宋体"/>
      <w:b/>
      <w:bCs/>
      <w:color w:val="606060"/>
      <w:sz w:val="28"/>
      <w:szCs w:val="28"/>
    </w:rPr>
  </w:style>
  <w:style w:type="paragraph" w:styleId="1046" w:customStyle="1">
    <w:name w:val="列出段落2"/>
    <w:basedOn w:val="944"/>
    <w:uiPriority w:val="0"/>
    <w:unhideWhenUsed/>
    <w:qFormat/>
    <w:pPr>
      <w:ind w:firstLine="420"/>
    </w:pPr>
    <w:rPr>
      <w:rFonts w:ascii="Calibri" w:hAnsi="Calibri"/>
      <w:szCs w:val="22"/>
    </w:rPr>
  </w:style>
  <w:style w:type="paragraph" w:styleId="1047" w:customStyle="1">
    <w:name w:val="Char Char Char"/>
    <w:basedOn w:val="944"/>
    <w:uiPriority w:val="0"/>
    <w:qFormat/>
  </w:style>
  <w:style w:type="paragraph" w:styleId="1048" w:customStyle="1">
    <w:name w:val="一级条标题"/>
    <w:basedOn w:val="1049"/>
    <w:next w:val="944"/>
    <w:uiPriority w:val="0"/>
    <w:qFormat/>
    <w:pPr>
      <w:numPr>
        <w:ilvl w:val="3"/>
      </w:numPr>
      <w:ind w:left="0"/>
      <w:outlineLvl w:val="2"/>
    </w:pPr>
  </w:style>
  <w:style w:type="paragraph" w:styleId="1049" w:customStyle="1">
    <w:name w:val="章标题"/>
    <w:next w:val="944"/>
    <w:uiPriority w:val="0"/>
    <w:qFormat/>
    <w:pPr>
      <w:numPr>
        <w:ilvl w:val="2"/>
        <w:numId w:val="2"/>
      </w:numPr>
      <w:ind w:left="360"/>
      <w:jc w:val="both"/>
      <w:spacing w:line="400" w:lineRule="exact"/>
      <w:outlineLvl w:val="1"/>
    </w:pPr>
    <w:rPr>
      <w:rFonts w:ascii="黑体" w:hAnsi="Times New Roman" w:eastAsia="黑体" w:cs="Times New Roman"/>
      <w:sz w:val="24"/>
      <w:lang w:val="en-US" w:eastAsia="zh-CN" w:bidi="ar-SA"/>
    </w:rPr>
  </w:style>
  <w:style w:type="paragraph" w:styleId="1050" w:customStyle="1">
    <w:name w:val="三级条标题"/>
    <w:basedOn w:val="1051"/>
    <w:next w:val="944"/>
    <w:uiPriority w:val="0"/>
    <w:qFormat/>
    <w:pPr>
      <w:numPr>
        <w:ilvl w:val="5"/>
      </w:numPr>
      <w:outlineLvl w:val="4"/>
    </w:pPr>
  </w:style>
  <w:style w:type="paragraph" w:styleId="1051" w:customStyle="1">
    <w:name w:val="二级条标题"/>
    <w:basedOn w:val="1048"/>
    <w:next w:val="944"/>
    <w:uiPriority w:val="0"/>
    <w:qFormat/>
    <w:pPr>
      <w:numPr>
        <w:ilvl w:val="4"/>
      </w:numPr>
      <w:ind w:left="540"/>
      <w:outlineLvl w:val="3"/>
    </w:pPr>
  </w:style>
  <w:style w:type="paragraph" w:styleId="1052" w:customStyle="1">
    <w:name w:val="Char Char1 Char Char Char Char Char Char Char"/>
    <w:basedOn w:val="944"/>
    <w:uiPriority w:val="0"/>
    <w:qFormat/>
    <w:rPr>
      <w:szCs w:val="20"/>
    </w:rPr>
  </w:style>
  <w:style w:type="paragraph" w:styleId="1053" w:customStyle="1">
    <w:name w:val="Char"/>
    <w:basedOn w:val="944"/>
    <w:uiPriority w:val="0"/>
    <w:qFormat/>
    <w:rPr>
      <w:rFonts w:ascii="仿宋_GB2312" w:eastAsia="仿宋_GB2312"/>
      <w:b/>
      <w:sz w:val="32"/>
      <w:szCs w:val="32"/>
    </w:rPr>
  </w:style>
  <w:style w:type="paragraph" w:styleId="1054" w:customStyle="1">
    <w:name w:val="正文首行缩进1"/>
    <w:basedOn w:val="964"/>
    <w:uiPriority w:val="0"/>
    <w:qFormat/>
    <w:pPr>
      <w:ind w:firstLine="420"/>
      <w:spacing w:after="120" w:line="400" w:lineRule="exact"/>
      <w:tabs>
        <w:tab w:val="clear" w:pos="5250" w:leader="none"/>
      </w:tabs>
    </w:pPr>
    <w:rPr>
      <w:sz w:val="21"/>
    </w:rPr>
  </w:style>
  <w:style w:type="paragraph" w:styleId="1055" w:customStyle="1">
    <w:name w:val="Char11"/>
    <w:basedOn w:val="944"/>
    <w:uiPriority w:val="0"/>
    <w:qFormat/>
    <w:pPr>
      <w:ind w:left="-62" w:right="36"/>
      <w:jc w:val="left"/>
      <w:spacing w:after="160" w:line="240" w:lineRule="exact"/>
      <w:widowControl/>
    </w:pPr>
    <w:rPr>
      <w:rFonts w:ascii="Arial" w:hAnsi="Arial" w:eastAsia="Times New Roman"/>
      <w:sz w:val="20"/>
      <w:szCs w:val="20"/>
      <w:lang w:eastAsia="en-US"/>
    </w:rPr>
  </w:style>
  <w:style w:type="paragraph" w:styleId="1056" w:customStyle="1">
    <w:name w:val="List Paragraph1"/>
    <w:basedOn w:val="944"/>
    <w:uiPriority w:val="0"/>
    <w:qFormat/>
    <w:pPr>
      <w:ind w:left="720"/>
      <w:jc w:val="left"/>
      <w:widowControl/>
    </w:pPr>
    <w:rPr>
      <w:rFonts w:ascii="Calibri" w:hAnsi="Calibri"/>
      <w:sz w:val="24"/>
      <w:lang w:eastAsia="en-US"/>
    </w:rPr>
  </w:style>
  <w:style w:type="paragraph" w:styleId="1057" w:customStyle="1">
    <w:name w:val="Default Paragraph Font Para Char"/>
    <w:basedOn w:val="944"/>
    <w:uiPriority w:val="0"/>
    <w:semiHidden/>
    <w:qFormat/>
    <w:pPr>
      <w:jc w:val="left"/>
      <w:spacing w:after="160" w:line="240" w:lineRule="exact"/>
      <w:widowControl/>
    </w:pPr>
    <w:rPr>
      <w:rFonts w:ascii="Verdana" w:hAnsi="Verdana"/>
      <w:sz w:val="20"/>
      <w:szCs w:val="20"/>
      <w:lang w:eastAsia="en-US"/>
    </w:rPr>
  </w:style>
  <w:style w:type="paragraph" w:styleId="1058" w:customStyle="1">
    <w:name w:val="纯文本1"/>
    <w:basedOn w:val="944"/>
    <w:uiPriority w:val="0"/>
    <w:qFormat/>
    <w:pPr>
      <w:spacing w:line="400" w:lineRule="exact"/>
    </w:pPr>
    <w:rPr>
      <w:rFonts w:ascii="宋体" w:hAnsi="Courier New" w:eastAsia="楷体_GB2312"/>
      <w:sz w:val="28"/>
      <w:szCs w:val="20"/>
    </w:rPr>
  </w:style>
  <w:style w:type="paragraph" w:styleId="1059" w:customStyle="1">
    <w:name w:val="列出段落1"/>
    <w:basedOn w:val="944"/>
    <w:uiPriority w:val="34"/>
    <w:qFormat/>
    <w:pPr>
      <w:ind w:firstLine="420"/>
      <w:spacing w:line="400" w:lineRule="exact"/>
    </w:pPr>
    <w:rPr>
      <w:rFonts w:ascii="Calibri" w:hAnsi="Calibri"/>
      <w:szCs w:val="22"/>
    </w:rPr>
  </w:style>
  <w:style w:type="paragraph" w:styleId="1060" w:customStyle="1">
    <w:name w:val="Char1"/>
    <w:basedOn w:val="944"/>
    <w:uiPriority w:val="0"/>
    <w:qFormat/>
    <w:pPr>
      <w:numPr>
        <w:ilvl w:val="0"/>
        <w:numId w:val="2"/>
      </w:numPr>
      <w:jc w:val="left"/>
      <w:spacing w:line="400" w:lineRule="exact"/>
    </w:pPr>
    <w:rPr>
      <w:rFonts w:ascii="仿宋_GB2312" w:eastAsia="仿宋_GB2312"/>
      <w:b/>
      <w:sz w:val="32"/>
      <w:szCs w:val="32"/>
    </w:rPr>
  </w:style>
  <w:style w:type="paragraph" w:styleId="1061" w:customStyle="1">
    <w:name w:val="正文-带编号1)"/>
    <w:basedOn w:val="944"/>
    <w:uiPriority w:val="0"/>
    <w:qFormat/>
    <w:pPr>
      <w:numPr>
        <w:ilvl w:val="0"/>
        <w:numId w:val="3"/>
      </w:numPr>
      <w:spacing w:line="400" w:lineRule="exact"/>
    </w:pPr>
    <w:rPr>
      <w:rFonts w:ascii="Arial" w:hAnsi="Arial"/>
    </w:rPr>
  </w:style>
  <w:style w:type="paragraph" w:styleId="1062" w:customStyle="1">
    <w:name w:val="说明书正文"/>
    <w:basedOn w:val="944"/>
    <w:uiPriority w:val="0"/>
    <w:qFormat/>
    <w:pPr>
      <w:ind w:firstLine="200"/>
      <w:jc w:val="left"/>
      <w:spacing w:line="460" w:lineRule="exact"/>
    </w:pPr>
    <w:rPr>
      <w:rFonts w:cs="宋体"/>
      <w:sz w:val="24"/>
      <w:szCs w:val="20"/>
    </w:rPr>
  </w:style>
  <w:style w:type="paragraph" w:styleId="1063" w:customStyle="1">
    <w:name w:val="_Style 5"/>
    <w:basedOn w:val="944"/>
    <w:uiPriority w:val="0"/>
    <w:qFormat/>
    <w:pPr>
      <w:contextualSpacing/>
      <w:ind w:left="720"/>
      <w:jc w:val="left"/>
      <w:widowControl/>
    </w:pPr>
    <w:rPr>
      <w:rFonts w:ascii="Calibri" w:hAnsi="Calibri"/>
      <w:sz w:val="24"/>
      <w:lang w:eastAsia="en-US"/>
    </w:rPr>
  </w:style>
  <w:style w:type="paragraph" w:styleId="1064" w:customStyle="1">
    <w:name w:val="规范正文"/>
    <w:basedOn w:val="944"/>
    <w:uiPriority w:val="0"/>
    <w:qFormat/>
    <w:pPr>
      <w:ind w:left="480"/>
      <w:spacing w:line="360" w:lineRule="auto"/>
    </w:pPr>
    <w:rPr>
      <w:sz w:val="24"/>
      <w:szCs w:val="20"/>
    </w:rPr>
  </w:style>
  <w:style w:type="paragraph" w:styleId="1065" w:customStyle="1">
    <w:name w:val="Para"/>
    <w:basedOn w:val="944"/>
    <w:uiPriority w:val="0"/>
    <w:qFormat/>
    <w:pPr>
      <w:ind w:firstLine="446"/>
      <w:spacing w:before="120" w:after="120" w:line="288" w:lineRule="auto"/>
      <w:widowControl/>
    </w:pPr>
    <w:rPr>
      <w:rFonts w:ascii="Arial" w:hAnsi="Arial"/>
      <w:sz w:val="20"/>
      <w:szCs w:val="20"/>
      <w:lang w:val="en-GB"/>
    </w:rPr>
  </w:style>
  <w:style w:type="paragraph" w:styleId="1066" w:customStyle="1">
    <w:name w:val="前言、引言标题"/>
    <w:next w:val="944"/>
    <w:uiPriority w:val="0"/>
    <w:qFormat/>
    <w:pPr>
      <w:numPr>
        <w:ilvl w:val="1"/>
        <w:numId w:val="2"/>
      </w:numPr>
      <w:ind w:left="0"/>
      <w:jc w:val="center"/>
      <w:spacing w:before="640" w:after="560" w:line="400" w:lineRule="exact"/>
      <w:shd w:val="clear" w:color="ffffff" w:fill="ffffff"/>
      <w:outlineLvl w:val="0"/>
    </w:pPr>
    <w:rPr>
      <w:rFonts w:ascii="黑体" w:hAnsi="Times New Roman" w:eastAsia="黑体" w:cs="Times New Roman"/>
      <w:sz w:val="32"/>
      <w:lang w:val="en-US" w:eastAsia="zh-CN" w:bidi="ar-SA"/>
    </w:rPr>
  </w:style>
  <w:style w:type="paragraph" w:styleId="1067" w:customStyle="1">
    <w:name w:val="Cell"/>
    <w:basedOn w:val="944"/>
    <w:uiPriority w:val="0"/>
    <w:qFormat/>
    <w:pPr>
      <w:spacing w:line="360" w:lineRule="atLeast"/>
    </w:pPr>
    <w:rPr>
      <w:rFonts w:ascii="Times" w:hAnsi="Times" w:eastAsia="PMingLiU"/>
      <w:color w:val="000000"/>
      <w:sz w:val="24"/>
      <w:szCs w:val="20"/>
      <w:lang w:eastAsia="en-US"/>
    </w:rPr>
  </w:style>
  <w:style w:type="paragraph" w:styleId="1068" w:customStyle="1">
    <w:name w:val="正文缩进1"/>
    <w:basedOn w:val="944"/>
    <w:uiPriority w:val="0"/>
    <w:qFormat/>
    <w:pPr>
      <w:ind w:firstLine="420"/>
      <w:jc w:val="left"/>
      <w:spacing w:line="400" w:lineRule="exact"/>
    </w:pPr>
    <w:rPr>
      <w:rFonts w:eastAsia="楷体_GB2312"/>
      <w:sz w:val="24"/>
      <w:szCs w:val="20"/>
    </w:rPr>
  </w:style>
  <w:style w:type="paragraph" w:styleId="1069" w:customStyle="1">
    <w:name w:val="样式 首行缩进:  2 字符"/>
    <w:basedOn w:val="944"/>
    <w:uiPriority w:val="0"/>
    <w:qFormat/>
    <w:pPr>
      <w:ind w:firstLine="480"/>
      <w:spacing w:line="480" w:lineRule="exact"/>
    </w:pPr>
    <w:rPr>
      <w:rFonts w:ascii="宋体" w:hAnsi="宋体" w:cs="宋体"/>
      <w:sz w:val="24"/>
      <w:szCs w:val="20"/>
    </w:rPr>
  </w:style>
  <w:style w:type="paragraph" w:styleId="1070" w:customStyle="1">
    <w:name w:val="四级条标题"/>
    <w:basedOn w:val="1050"/>
    <w:next w:val="944"/>
    <w:uiPriority w:val="0"/>
    <w:qFormat/>
    <w:pPr>
      <w:numPr>
        <w:ilvl w:val="6"/>
      </w:numPr>
      <w:outlineLvl w:val="5"/>
    </w:pPr>
  </w:style>
  <w:style w:type="paragraph" w:styleId="107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72" w:customStyle="1">
    <w:name w:val="afont"/>
    <w:basedOn w:val="944"/>
    <w:uiPriority w:val="0"/>
    <w:qFormat/>
    <w:pPr>
      <w:jc w:val="left"/>
      <w:spacing w:before="100" w:after="100" w:line="285" w:lineRule="atLeast"/>
      <w:widowControl/>
    </w:pPr>
    <w:rPr>
      <w:rFonts w:ascii="宋体" w:hAnsi="宋体"/>
      <w:sz w:val="18"/>
      <w:szCs w:val="20"/>
    </w:rPr>
  </w:style>
  <w:style w:type="paragraph" w:styleId="1073" w:customStyle="1">
    <w:name w:val="p0"/>
    <w:basedOn w:val="944"/>
    <w:uiPriority w:val="0"/>
    <w:qFormat/>
    <w:pPr>
      <w:widowControl/>
    </w:pPr>
    <w:rPr>
      <w:sz w:val="26"/>
      <w:szCs w:val="26"/>
    </w:rPr>
  </w:style>
  <w:style w:type="paragraph" w:styleId="1074"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75" w:customStyle="1">
    <w:name w:val="纯文本2"/>
    <w:basedOn w:val="944"/>
    <w:uiPriority w:val="0"/>
    <w:qFormat/>
    <w:rPr>
      <w:rFonts w:ascii="宋体" w:hAnsi="Courier New" w:eastAsia="楷体_GB2312"/>
      <w:sz w:val="28"/>
      <w:szCs w:val="20"/>
    </w:rPr>
  </w:style>
  <w:style w:type="paragraph" w:styleId="1076" w:customStyle="1">
    <w:name w:val="样式 中软正文 + 首行缩进:  2 字符"/>
    <w:basedOn w:val="944"/>
    <w:uiPriority w:val="0"/>
    <w:qFormat/>
    <w:pPr>
      <w:ind w:firstLine="420"/>
      <w:jc w:val="left"/>
      <w:spacing w:after="120" w:line="440" w:lineRule="exact"/>
      <w:widowControl/>
    </w:pPr>
    <w:rPr>
      <w:rFonts w:ascii="Arial" w:hAnsi="Arial"/>
      <w:sz w:val="24"/>
      <w:szCs w:val="20"/>
    </w:rPr>
  </w:style>
  <w:style w:type="paragraph" w:styleId="1077" w:customStyle="1">
    <w:name w:val="Char Char Char1"/>
    <w:basedOn w:val="944"/>
    <w:uiPriority w:val="0"/>
    <w:qFormat/>
    <w:rPr>
      <w:rFonts w:ascii="Tahoma" w:hAnsi="Tahoma"/>
      <w:sz w:val="24"/>
      <w:szCs w:val="20"/>
    </w:rPr>
  </w:style>
  <w:style w:type="paragraph" w:styleId="107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table" w:styleId="1079" w:customStyle="1">
    <w:name w:val="网格型4"/>
    <w:basedOn w:val="955"/>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80" w:customStyle="1">
    <w:name w:val="网格型3"/>
    <w:basedOn w:val="955"/>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81" w:customStyle="1">
    <w:name w:val="网格型2"/>
    <w:basedOn w:val="955"/>
    <w:uiPriority w:val="59"/>
    <w:qFormat/>
    <w:rPr>
      <w:rFonts w:ascii="Cambria" w:hAnsi="Cambria"/>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82" w:customStyle="1">
    <w:name w:val="网格型1"/>
    <w:basedOn w:val="95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083" w:customStyle="1">
    <w:name w:val="_Style 3"/>
    <w:next w:val="978"/>
    <w:uiPriority w:val="99"/>
    <w:qFormat/>
    <w:pPr>
      <w:jc w:val="both"/>
      <w:widowControl w:val="off"/>
    </w:pPr>
    <w:rPr>
      <w:rFonts w:ascii="Times New Roman" w:hAnsi="Times New Roman" w:eastAsia="宋体" w:cs="Times New Roman"/>
      <w:sz w:val="21"/>
      <w:szCs w:val="22"/>
      <w:lang w:val="en-US" w:eastAsia="zh-CN" w:bidi="ar-SA"/>
    </w:rPr>
  </w:style>
  <w:style w:type="character" w:styleId="1084" w:customStyle="1">
    <w:name w:val="未处理的提及1"/>
    <w:basedOn w:val="954"/>
    <w:uiPriority w:val="99"/>
    <w:semiHidden/>
    <w:unhideWhenUsed/>
    <w:qFormat/>
    <w:rPr>
      <w:color w:val="605e5c"/>
      <w:shd w:val="clear" w:color="auto" w:fill="e1dfdd"/>
    </w:rPr>
  </w:style>
  <w:style w:type="paragraph" w:styleId="1085" w:customStyle="1">
    <w:name w:val="正文11"/>
    <w:basedOn w:val="944"/>
    <w:next w:val="944"/>
    <w:uiPriority w:val="0"/>
    <w:qFormat/>
    <w:pPr>
      <w:spacing w:line="340" w:lineRule="exact"/>
      <w:widowControl/>
    </w:pPr>
    <w:rPr>
      <w:rFonts w:ascii="Calibri" w:hAnsi="Calibri" w:eastAsia="黑体"/>
      <w:b/>
      <w:sz w:val="25"/>
    </w:rPr>
  </w:style>
  <w:style w:type="paragraph" w:styleId="1086" w:customStyle="1">
    <w:name w:val="列表段落1"/>
    <w:basedOn w:val="944"/>
    <w:uiPriority w:val="34"/>
    <w:qFormat/>
    <w:pPr>
      <w:ind w:firstLine="420"/>
    </w:pPr>
    <w:rPr>
      <w:rFonts w:ascii="Calibri" w:hAnsi="Calibri"/>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8EBD97-E9F8-47ED-9631-69C7AE30E9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苏州市原鑫招投标咨询服务有限公司</dc:creator>
  <cp:lastModifiedBy>金健</cp:lastModifiedBy>
  <cp:revision>18</cp:revision>
  <dcterms:created xsi:type="dcterms:W3CDTF">2024-04-18T07:07:00Z</dcterms:created>
  <dcterms:modified xsi:type="dcterms:W3CDTF">2026-07-17T05:54:08Z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C8C9D8FB0E8545DE915209C9C0DEF809_13</vt:lpwstr>
  </property>
  <property fmtid="{D5CDD505-2E9C-101B-9397-08002B2CF9AE}" pid="4" name="KSOTemplateDocerSaveRecord">
    <vt:lpwstr>eyJoZGlkIjoiMjRhYjEzN2U2M2QzMDhkYTgwZmVhMGMzYzEzZTZkOTMiLCJ1c2VySWQiOiIzMDUwNTgxMjIifQ==</vt:lpwstr>
  </property>
</Properties>
</file>